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horzAnchor="margin" w:tblpY="131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AD08B8" w:rsidRPr="00DD62DA" w14:paraId="34FA9652" w14:textId="77777777" w:rsidTr="00AD08B8">
        <w:trPr>
          <w:trHeight w:val="653"/>
        </w:trPr>
        <w:tc>
          <w:tcPr>
            <w:tcW w:w="8504" w:type="dxa"/>
            <w:vAlign w:val="center"/>
          </w:tcPr>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2"/>
              <w:gridCol w:w="518"/>
            </w:tblGrid>
            <w:tr w:rsidR="00465DFA" w:rsidRPr="003B0CA2" w14:paraId="3B267B16" w14:textId="77777777" w:rsidTr="009672B2">
              <w:trPr>
                <w:jc w:val="center"/>
              </w:trPr>
              <w:tc>
                <w:tcPr>
                  <w:tcW w:w="1132" w:type="dxa"/>
                  <w:tcBorders>
                    <w:right w:val="single" w:sz="18" w:space="0" w:color="FFFFFF" w:themeColor="background1"/>
                  </w:tcBorders>
                  <w:shd w:val="clear" w:color="auto" w:fill="0070C0"/>
                  <w:vAlign w:val="center"/>
                </w:tcPr>
                <w:p w14:paraId="5B95D635" w14:textId="78B66FD4" w:rsidR="00465DFA" w:rsidRPr="008E0315" w:rsidRDefault="00465DFA" w:rsidP="00465DFA">
                  <w:pPr>
                    <w:framePr w:hSpace="141" w:wrap="around" w:hAnchor="margin" w:y="1318"/>
                    <w:spacing w:before="60" w:after="60"/>
                    <w:jc w:val="center"/>
                    <w:rPr>
                      <w:noProof/>
                      <w:color w:val="FFFFFF" w:themeColor="background1"/>
                      <w:sz w:val="28"/>
                      <w:szCs w:val="28"/>
                    </w:rPr>
                  </w:pPr>
                  <w:r w:rsidRPr="008E0315">
                    <w:rPr>
                      <w:noProof/>
                      <w:color w:val="FFFFFF" w:themeColor="background1"/>
                      <w:sz w:val="28"/>
                      <w:szCs w:val="28"/>
                    </w:rPr>
                    <w:t>202</w:t>
                  </w:r>
                  <w:r w:rsidR="000D5067">
                    <w:rPr>
                      <w:noProof/>
                      <w:color w:val="FFFFFF" w:themeColor="background1"/>
                      <w:sz w:val="28"/>
                      <w:szCs w:val="28"/>
                    </w:rPr>
                    <w:t>5</w:t>
                  </w:r>
                </w:p>
              </w:tc>
              <w:tc>
                <w:tcPr>
                  <w:tcW w:w="475" w:type="dxa"/>
                  <w:tcBorders>
                    <w:left w:val="single" w:sz="18" w:space="0" w:color="FFFFFF" w:themeColor="background1"/>
                  </w:tcBorders>
                  <w:shd w:val="clear" w:color="auto" w:fill="DC3939"/>
                  <w:vAlign w:val="center"/>
                </w:tcPr>
                <w:p w14:paraId="1E4794DC" w14:textId="5839D9B2" w:rsidR="00465DFA" w:rsidRPr="008E0315" w:rsidRDefault="00B44217" w:rsidP="00465DFA">
                  <w:pPr>
                    <w:framePr w:hSpace="141" w:wrap="around" w:hAnchor="margin" w:y="1318"/>
                    <w:spacing w:before="60" w:after="60"/>
                    <w:jc w:val="center"/>
                    <w:rPr>
                      <w:noProof/>
                      <w:color w:val="FFFFFF" w:themeColor="background1"/>
                      <w:sz w:val="28"/>
                      <w:szCs w:val="28"/>
                    </w:rPr>
                  </w:pPr>
                  <w:r>
                    <w:rPr>
                      <w:noProof/>
                      <w:color w:val="FFFFFF" w:themeColor="background1"/>
                      <w:sz w:val="28"/>
                      <w:szCs w:val="28"/>
                    </w:rPr>
                    <w:t>2</w:t>
                  </w:r>
                  <w:r w:rsidR="009D302E">
                    <w:rPr>
                      <w:noProof/>
                      <w:color w:val="FFFFFF" w:themeColor="background1"/>
                      <w:sz w:val="28"/>
                      <w:szCs w:val="28"/>
                    </w:rPr>
                    <w:t>6</w:t>
                  </w:r>
                </w:p>
              </w:tc>
            </w:tr>
          </w:tbl>
          <w:p w14:paraId="5EBDDE00" w14:textId="5E7948F0" w:rsidR="00814BDF" w:rsidRPr="00DD62DA" w:rsidRDefault="00814BDF" w:rsidP="00F836D7">
            <w:pPr>
              <w:rPr>
                <w:b/>
                <w:bCs/>
                <w:noProof/>
                <w:sz w:val="36"/>
                <w:szCs w:val="36"/>
              </w:rPr>
            </w:pPr>
          </w:p>
        </w:tc>
      </w:tr>
    </w:tbl>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227ACB"/>
        <w:tblLook w:val="04A0" w:firstRow="1" w:lastRow="0" w:firstColumn="1" w:lastColumn="0" w:noHBand="0" w:noVBand="1"/>
      </w:tblPr>
      <w:tblGrid>
        <w:gridCol w:w="142"/>
        <w:gridCol w:w="8784"/>
      </w:tblGrid>
      <w:tr w:rsidR="008C330E" w14:paraId="352DBF3E" w14:textId="77777777" w:rsidTr="009672B2">
        <w:trPr>
          <w:gridBefore w:val="1"/>
          <w:wBefore w:w="142" w:type="dxa"/>
          <w:trHeight w:val="46"/>
        </w:trPr>
        <w:tc>
          <w:tcPr>
            <w:tcW w:w="8784" w:type="dxa"/>
            <w:shd w:val="clear" w:color="auto" w:fill="A2A2A2"/>
          </w:tcPr>
          <w:p w14:paraId="7741DFA5" w14:textId="77777777" w:rsidR="008C330E" w:rsidRPr="008E0315" w:rsidRDefault="008C330E" w:rsidP="009672B2">
            <w:pPr>
              <w:rPr>
                <w:sz w:val="2"/>
                <w:szCs w:val="2"/>
              </w:rPr>
            </w:pPr>
          </w:p>
        </w:tc>
      </w:tr>
      <w:tr w:rsidR="008C330E" w14:paraId="07F504E5" w14:textId="77777777" w:rsidTr="009672B2">
        <w:trPr>
          <w:trHeight w:val="753"/>
        </w:trPr>
        <w:tc>
          <w:tcPr>
            <w:tcW w:w="8926" w:type="dxa"/>
            <w:gridSpan w:val="2"/>
            <w:shd w:val="clear" w:color="auto" w:fill="0070C0"/>
            <w:vAlign w:val="center"/>
          </w:tcPr>
          <w:p w14:paraId="42B3D4BC" w14:textId="5BD17ED0" w:rsidR="008C330E" w:rsidRPr="007D09C1" w:rsidRDefault="009D302E" w:rsidP="004F667F">
            <w:pPr>
              <w:spacing w:after="120"/>
              <w:jc w:val="center"/>
              <w:rPr>
                <w:sz w:val="24"/>
                <w:szCs w:val="24"/>
              </w:rPr>
            </w:pPr>
            <w:r>
              <w:rPr>
                <w:color w:val="FFFFFF" w:themeColor="background1"/>
                <w:sz w:val="24"/>
                <w:szCs w:val="24"/>
              </w:rPr>
              <w:t>Yeni Yatırım Teşvik Sisteminin Belirlendiği Cumhurbaşkanı Kararı Yayımlanmıştır</w:t>
            </w:r>
          </w:p>
        </w:tc>
      </w:tr>
    </w:tbl>
    <w:p w14:paraId="0FDA76A9" w14:textId="77777777" w:rsidR="009F6E12" w:rsidRDefault="009F6E12" w:rsidP="009F6E12">
      <w:pPr>
        <w:spacing w:before="120" w:after="120"/>
      </w:pPr>
    </w:p>
    <w:p w14:paraId="419CBB03" w14:textId="3574FCD4" w:rsidR="00420CC5" w:rsidRDefault="001C3051" w:rsidP="00BD1632">
      <w:pPr>
        <w:spacing w:before="120" w:after="120"/>
      </w:pPr>
      <w:hyperlink r:id="rId8" w:history="1">
        <w:r>
          <w:rPr>
            <w:rStyle w:val="Kpr"/>
          </w:rPr>
          <w:t>Yatırımlarda Devlet Yardımları Hakkında Karar (Karar Sayısı: 9903)</w:t>
        </w:r>
      </w:hyperlink>
      <w:r w:rsidR="00BD1632" w:rsidRPr="00BD1632">
        <w:t xml:space="preserve"> </w:t>
      </w:r>
      <w:r>
        <w:t>30</w:t>
      </w:r>
      <w:r w:rsidR="00420CC5" w:rsidRPr="00BD1632">
        <w:t xml:space="preserve"> Mayıs 2025 tarihli Resmi Gazete’de </w:t>
      </w:r>
      <w:r w:rsidR="00BD1632" w:rsidRPr="00BD1632">
        <w:t>yayımlan</w:t>
      </w:r>
      <w:r w:rsidR="00420CC5">
        <w:t>mıştır</w:t>
      </w:r>
      <w:r w:rsidR="00BD1632" w:rsidRPr="00BD1632">
        <w:t>.</w:t>
      </w:r>
      <w:r w:rsidR="00420CC5">
        <w:t xml:space="preserve"> </w:t>
      </w:r>
    </w:p>
    <w:p w14:paraId="62D5D51D" w14:textId="7884AA30" w:rsidR="00BD1632" w:rsidRDefault="00BD1632" w:rsidP="00BD1632">
      <w:pPr>
        <w:spacing w:before="120" w:after="120"/>
      </w:pPr>
      <w:r w:rsidRPr="00BD1632">
        <w:t>Bu Karar</w:t>
      </w:r>
      <w:r w:rsidR="00420CC5">
        <w:t xml:space="preserve"> ile</w:t>
      </w:r>
      <w:r w:rsidR="001C3051">
        <w:t xml:space="preserve">, </w:t>
      </w:r>
      <w:r w:rsidR="001C3051" w:rsidRPr="001C3051">
        <w:rPr>
          <w:b/>
          <w:bCs/>
        </w:rPr>
        <w:t>30 Mayıs 2025 ile 31 Aralık 2030 arasında geçerli olacak yeni yatırım teşvik sistemi yürürlüğe sokulmuştur</w:t>
      </w:r>
      <w:r w:rsidR="001C3051">
        <w:t>.</w:t>
      </w:r>
      <w:r w:rsidR="00420CC5">
        <w:t xml:space="preserve"> </w:t>
      </w:r>
    </w:p>
    <w:p w14:paraId="580530FB" w14:textId="04C1FA91" w:rsidR="001C3051" w:rsidRDefault="001C3051" w:rsidP="00BD1632">
      <w:pPr>
        <w:spacing w:before="120" w:after="120"/>
      </w:pPr>
      <w:r>
        <w:t xml:space="preserve">Bu Karar </w:t>
      </w:r>
      <w:r w:rsidRPr="001C3051">
        <w:t xml:space="preserve">ile birlikte, </w:t>
      </w:r>
      <w:r w:rsidRPr="001C3051">
        <w:rPr>
          <w:b/>
          <w:bCs/>
        </w:rPr>
        <w:t>2012/3305</w:t>
      </w:r>
      <w:r w:rsidRPr="001C3051">
        <w:t xml:space="preserve"> sayılı Bakanlar Kurulu Kararı ile yürürlüğe konulan </w:t>
      </w:r>
      <w:r w:rsidRPr="001C3051">
        <w:rPr>
          <w:b/>
          <w:bCs/>
        </w:rPr>
        <w:t>Yatırımlarda Devlet Yardımları Hakkında Karar</w:t>
      </w:r>
      <w:r w:rsidRPr="001C3051">
        <w:t xml:space="preserve"> ve </w:t>
      </w:r>
      <w:r w:rsidRPr="001C3051">
        <w:rPr>
          <w:b/>
          <w:bCs/>
        </w:rPr>
        <w:t>2018/11201</w:t>
      </w:r>
      <w:r w:rsidRPr="001C3051">
        <w:t xml:space="preserve"> sayılı Bakanlar Kurulu Kararı ile yürürlüğe konulan </w:t>
      </w:r>
      <w:r w:rsidRPr="001C3051">
        <w:rPr>
          <w:b/>
          <w:bCs/>
        </w:rPr>
        <w:t>Cazibe Merkezleri Programı Kapsamında Yatırımların Desteklenmesi Hakkında Karar</w:t>
      </w:r>
      <w:r w:rsidRPr="001C3051">
        <w:t xml:space="preserve"> yürürlükten kaldırılmıştır.</w:t>
      </w:r>
    </w:p>
    <w:p w14:paraId="0C20DA53" w14:textId="14DA5F94" w:rsidR="001C3051" w:rsidRDefault="001C3051" w:rsidP="00BD1632">
      <w:pPr>
        <w:spacing w:before="120" w:after="120"/>
      </w:pPr>
      <w:r>
        <w:t xml:space="preserve">Karar toplam 36 asıl ve 5 geçici madde ile </w:t>
      </w:r>
      <w:r w:rsidR="00E47315">
        <w:t>5 ekten oluşmakta olup son derece kapsamlıdır. 1 Ocak 2026 tarihinde yürürlüğe girecek olan istisnai bazı düzenlemeler (5’inci maddenin 11,12,13 ve 14’ncü fıkraları haricinde</w:t>
      </w:r>
      <w:r w:rsidR="00176ECE">
        <w:t>)</w:t>
      </w:r>
      <w:r w:rsidR="00E47315">
        <w:t xml:space="preserve"> 30 Mayıs 2025 günü itibariyle yürürlüğe girmiş bulunmaktadır.</w:t>
      </w:r>
    </w:p>
    <w:p w14:paraId="00B6B179" w14:textId="189166F1" w:rsidR="00BD0DE3" w:rsidRPr="00BD1632" w:rsidRDefault="00BD0DE3" w:rsidP="00BD1632">
      <w:pPr>
        <w:spacing w:before="120" w:after="120"/>
      </w:pPr>
      <w:r>
        <w:t xml:space="preserve">Bu sirkülerimizde </w:t>
      </w:r>
      <w:r w:rsidRPr="00BD0DE3">
        <w:t>yeni yatırım teşvik sisteminin yapısına genel hatlarıyla değinildikten sonra</w:t>
      </w:r>
      <w:r>
        <w:rPr>
          <w:b/>
          <w:bCs/>
        </w:rPr>
        <w:t xml:space="preserve">, </w:t>
      </w:r>
      <w:r w:rsidRPr="00BD0DE3">
        <w:t>esas itibariyle</w:t>
      </w:r>
      <w:r>
        <w:t xml:space="preserve"> vergiye ilişkili düzenlemelerine</w:t>
      </w:r>
      <w:r w:rsidR="00176ECE">
        <w:t>,</w:t>
      </w:r>
      <w:r>
        <w:t xml:space="preserve"> özellikle de</w:t>
      </w:r>
      <w:r>
        <w:rPr>
          <w:b/>
          <w:bCs/>
        </w:rPr>
        <w:t xml:space="preserve"> “Vergi İndirimi” </w:t>
      </w:r>
      <w:r w:rsidRPr="00BD0DE3">
        <w:t xml:space="preserve">ne ilişkin </w:t>
      </w:r>
      <w:r>
        <w:t>olanları daha ayrıntılı olarak</w:t>
      </w:r>
      <w:r w:rsidRPr="00BD0DE3">
        <w:t xml:space="preserve"> ele alınacaktır.</w:t>
      </w:r>
    </w:p>
    <w:p w14:paraId="405DB40B" w14:textId="21E0931C" w:rsidR="00BD1632" w:rsidRDefault="002C4C73" w:rsidP="002C4C73">
      <w:pPr>
        <w:rPr>
          <w:rFonts w:asciiTheme="majorHAnsi" w:eastAsia="Dotum" w:hAnsiTheme="majorHAnsi" w:cstheme="minorHAnsi"/>
          <w:b/>
          <w:bCs/>
          <w:color w:val="0066CC"/>
        </w:rPr>
      </w:pPr>
      <w:r w:rsidRPr="00BD1632">
        <w:rPr>
          <w:rFonts w:asciiTheme="majorHAnsi" w:eastAsia="Dotum" w:hAnsiTheme="majorHAnsi" w:cstheme="minorHAnsi"/>
          <w:b/>
          <w:bCs/>
          <w:color w:val="0066CC"/>
        </w:rPr>
        <w:t xml:space="preserve">1) </w:t>
      </w:r>
      <w:r w:rsidR="009335DD">
        <w:rPr>
          <w:rFonts w:asciiTheme="majorHAnsi" w:eastAsia="Dotum" w:hAnsiTheme="majorHAnsi" w:cstheme="minorHAnsi"/>
          <w:b/>
          <w:bCs/>
          <w:color w:val="0066CC"/>
        </w:rPr>
        <w:t>Yeni Yatırım Teşvik Sistemin Kurgusu</w:t>
      </w:r>
    </w:p>
    <w:p w14:paraId="5C382497" w14:textId="744142F4" w:rsidR="00E7166B" w:rsidRPr="00E81458" w:rsidRDefault="00E7166B" w:rsidP="00E7166B">
      <w:r>
        <w:t xml:space="preserve">Bu Karar ile yatırım teşvik sistemi </w:t>
      </w:r>
      <w:r w:rsidR="00226829">
        <w:t>üç</w:t>
      </w:r>
      <w:r w:rsidR="00713F86">
        <w:t xml:space="preserve"> ana başlık ve bunların altındaki alt </w:t>
      </w:r>
      <w:r w:rsidR="00226829">
        <w:t xml:space="preserve">program </w:t>
      </w:r>
      <w:r w:rsidR="00713F86">
        <w:t>başlıklar</w:t>
      </w:r>
      <w:r w:rsidR="00226829">
        <w:t>ın</w:t>
      </w:r>
      <w:r w:rsidR="00713F86">
        <w:t xml:space="preserve">dan oluşan bir yapıda </w:t>
      </w:r>
      <w:r>
        <w:t>yeniden kurgulanmış bulunmaktadır.</w:t>
      </w:r>
      <w:r w:rsidRPr="00E81458">
        <w:t xml:space="preserve"> </w:t>
      </w:r>
      <w:r w:rsidR="00E81458">
        <w:t>Bu kurgu ile</w:t>
      </w:r>
      <w:r w:rsidR="00E81458" w:rsidRPr="00E81458">
        <w:t>, yatırımlar hem projeye hem</w:t>
      </w:r>
      <w:r w:rsidR="00E81458">
        <w:t xml:space="preserve"> sektöre hem de</w:t>
      </w:r>
      <w:r w:rsidR="00E81458" w:rsidRPr="00E81458">
        <w:t xml:space="preserve"> de coğrafi konuma bağlı olarak farklılaştırılmış şekilde desteklen</w:t>
      </w:r>
      <w:r w:rsidR="00E81458">
        <w:t>ebilecektir.</w:t>
      </w:r>
    </w:p>
    <w:p w14:paraId="70E0AC11" w14:textId="3517B5F9" w:rsidR="00E7166B" w:rsidRDefault="00226829" w:rsidP="00226829">
      <w:pPr>
        <w:rPr>
          <w:b/>
          <w:bCs/>
        </w:rPr>
      </w:pPr>
      <w:r>
        <w:rPr>
          <w:b/>
          <w:bCs/>
        </w:rPr>
        <w:t xml:space="preserve">A. </w:t>
      </w:r>
      <w:r w:rsidR="00E7166B" w:rsidRPr="00226829">
        <w:rPr>
          <w:b/>
          <w:bCs/>
        </w:rPr>
        <w:t>Türkiye Yüzyılı Kalkınma Hamlesi</w:t>
      </w:r>
    </w:p>
    <w:p w14:paraId="79069678" w14:textId="17DE955C" w:rsidR="008A5FE0" w:rsidRPr="008A5FE0" w:rsidRDefault="008A5FE0" w:rsidP="00226829">
      <w:r>
        <w:t xml:space="preserve">Üç ana programa ayrılan </w:t>
      </w:r>
      <w:r w:rsidRPr="008A5FE0">
        <w:t>Türkiye Yüzyılı Kalkınma Hamlesi</w:t>
      </w:r>
      <w:r>
        <w:t xml:space="preserve"> </w:t>
      </w:r>
      <w:r w:rsidRPr="008A5FE0">
        <w:t xml:space="preserve"> kapsamındaki yatırımlar proje bazlı olarak değerlendiril</w:t>
      </w:r>
      <w:r>
        <w:t>ecektir</w:t>
      </w:r>
      <w:r w:rsidRPr="008A5FE0">
        <w:t xml:space="preserve">; </w:t>
      </w:r>
      <w:r>
        <w:t xml:space="preserve">Bu çerçevede </w:t>
      </w:r>
      <w:r w:rsidRPr="008A5FE0">
        <w:t xml:space="preserve">katma değer, dışa bağımlılığı azaltma, arz güvenliği, yeşil-dijital dönüşüm gibi stratejik amaçlar doğrultusunda desteklenmektedir. Destek kararı, ilgili </w:t>
      </w:r>
      <w:r w:rsidRPr="008A5FE0">
        <w:rPr>
          <w:b/>
          <w:bCs/>
        </w:rPr>
        <w:t>Komitelerce</w:t>
      </w:r>
      <w:r>
        <w:rPr>
          <w:b/>
          <w:bCs/>
        </w:rPr>
        <w:t xml:space="preserve"> </w:t>
      </w:r>
      <w:r w:rsidRPr="008A5FE0">
        <w:t>(</w:t>
      </w:r>
      <w:r w:rsidRPr="008A5FE0">
        <w:rPr>
          <w:i/>
          <w:iCs/>
        </w:rPr>
        <w:t>Teknoloji Hamlesi Programı Değerlendirme Komitesi</w:t>
      </w:r>
      <w:r w:rsidRPr="008A5FE0">
        <w:rPr>
          <w:i/>
          <w:iCs/>
        </w:rPr>
        <w:t xml:space="preserve">, </w:t>
      </w:r>
      <w:r w:rsidRPr="008A5FE0">
        <w:rPr>
          <w:i/>
          <w:iCs/>
        </w:rPr>
        <w:t>Yerel Kalkınma Hamlesi</w:t>
      </w:r>
      <w:r w:rsidRPr="008A5FE0">
        <w:rPr>
          <w:i/>
          <w:iCs/>
        </w:rPr>
        <w:t xml:space="preserve"> </w:t>
      </w:r>
      <w:r w:rsidRPr="008A5FE0">
        <w:rPr>
          <w:i/>
          <w:iCs/>
        </w:rPr>
        <w:t>Programı Değerlendirme Komitesi</w:t>
      </w:r>
      <w:r w:rsidRPr="008A5FE0">
        <w:rPr>
          <w:i/>
          <w:iCs/>
        </w:rPr>
        <w:t xml:space="preserve">, </w:t>
      </w:r>
      <w:r w:rsidRPr="008A5FE0">
        <w:rPr>
          <w:i/>
          <w:iCs/>
        </w:rPr>
        <w:t>Stratejik Hamle Programı Değerlendirme Komitesi</w:t>
      </w:r>
      <w:r>
        <w:rPr>
          <w:i/>
          <w:iCs/>
        </w:rPr>
        <w:t>)</w:t>
      </w:r>
      <w:r w:rsidRPr="008A5FE0">
        <w:t xml:space="preserve"> </w:t>
      </w:r>
      <w:r w:rsidRPr="008A5FE0">
        <w:t xml:space="preserve"> veril</w:t>
      </w:r>
      <w:r>
        <w:t>ecektir ve uygun görülen yatırımlar için Yatırım Teşvik Belgesi düzenlenecektir.</w:t>
      </w:r>
    </w:p>
    <w:p w14:paraId="2E384EF5" w14:textId="7CC2DF67" w:rsidR="00226829" w:rsidRPr="00226829" w:rsidRDefault="00226829" w:rsidP="00226829">
      <w:pPr>
        <w:ind w:left="708"/>
      </w:pPr>
      <w:r w:rsidRPr="00226829">
        <w:t>1. Teknoloji Hamlesi Programı</w:t>
      </w:r>
    </w:p>
    <w:p w14:paraId="4139CA38" w14:textId="7EB5EB2D" w:rsidR="00226829" w:rsidRPr="00226829" w:rsidRDefault="00226829" w:rsidP="00226829">
      <w:pPr>
        <w:ind w:left="708"/>
      </w:pPr>
      <w:r w:rsidRPr="00226829">
        <w:t>2. Yerel Kalkınma Hamlesi Programı</w:t>
      </w:r>
    </w:p>
    <w:p w14:paraId="2844126B" w14:textId="240C0906" w:rsidR="00226829" w:rsidRPr="00226829" w:rsidRDefault="00226829" w:rsidP="00226829">
      <w:pPr>
        <w:ind w:left="708"/>
      </w:pPr>
      <w:r w:rsidRPr="00226829">
        <w:t>3. Stratejik Hamle Programı</w:t>
      </w:r>
    </w:p>
    <w:p w14:paraId="7635F8A4" w14:textId="59CC836E" w:rsidR="00E7166B" w:rsidRDefault="00226829" w:rsidP="00226829">
      <w:pPr>
        <w:rPr>
          <w:b/>
          <w:bCs/>
        </w:rPr>
      </w:pPr>
      <w:r>
        <w:rPr>
          <w:b/>
          <w:bCs/>
        </w:rPr>
        <w:lastRenderedPageBreak/>
        <w:t xml:space="preserve">B. </w:t>
      </w:r>
      <w:r w:rsidR="00E7166B" w:rsidRPr="00226829">
        <w:rPr>
          <w:b/>
          <w:bCs/>
        </w:rPr>
        <w:t>Sektörel Teşvik Sistemi</w:t>
      </w:r>
    </w:p>
    <w:p w14:paraId="27624EAB" w14:textId="6D9A24DD" w:rsidR="008A5FE0" w:rsidRPr="008A5FE0" w:rsidRDefault="008A5FE0" w:rsidP="00226829">
      <w:r>
        <w:t xml:space="preserve">İki alt sistem ayrılan </w:t>
      </w:r>
      <w:r w:rsidRPr="008A5FE0">
        <w:t xml:space="preserve">Sektörel Teşvik Sistemi, </w:t>
      </w:r>
      <w:r>
        <w:t>Y</w:t>
      </w:r>
      <w:r w:rsidRPr="008A5FE0">
        <w:t>atırım konusu ve sektöre göre belirlenmiş kriterleri sağlayan yatırımlar için geçerli</w:t>
      </w:r>
      <w:r>
        <w:t xml:space="preserve"> olacaktır. U</w:t>
      </w:r>
      <w:r>
        <w:t>ygun görülen yatırımlar için Yatırım Teşvik Belgesi düzenlenecektir.</w:t>
      </w:r>
    </w:p>
    <w:p w14:paraId="31B8A6CE" w14:textId="2D40DD71" w:rsidR="00226829" w:rsidRDefault="00226829" w:rsidP="00226829">
      <w:pPr>
        <w:ind w:left="708"/>
      </w:pPr>
      <w:r>
        <w:t>1. Öncelikli Yatırımlar Teşvik Sistemi</w:t>
      </w:r>
    </w:p>
    <w:p w14:paraId="7926EB9D" w14:textId="4DF1E951" w:rsidR="00176ECE" w:rsidRDefault="00226829" w:rsidP="008A5FE0">
      <w:pPr>
        <w:ind w:left="708"/>
      </w:pPr>
      <w:r>
        <w:t>2. Hedef Yatırımlar Teşvik Sistemi</w:t>
      </w:r>
    </w:p>
    <w:p w14:paraId="0E125C5E" w14:textId="15DB000F" w:rsidR="00226829" w:rsidRPr="00226829" w:rsidRDefault="00226829" w:rsidP="00226829">
      <w:pPr>
        <w:rPr>
          <w:b/>
          <w:bCs/>
        </w:rPr>
      </w:pPr>
      <w:r>
        <w:rPr>
          <w:b/>
          <w:bCs/>
        </w:rPr>
        <w:t xml:space="preserve">C. </w:t>
      </w:r>
      <w:r w:rsidRPr="00226829">
        <w:rPr>
          <w:b/>
          <w:bCs/>
        </w:rPr>
        <w:t>Bölgesel Teşvik Sistemi</w:t>
      </w:r>
    </w:p>
    <w:p w14:paraId="5B597917" w14:textId="48743C3E" w:rsidR="00226829" w:rsidRDefault="00226829" w:rsidP="00226829">
      <w:pPr>
        <w:ind w:left="708"/>
      </w:pPr>
      <w:r>
        <w:t>Yukarıda sayılan her iki teşvik sistem (A &amp; B) kapsamında desteklenen yatırımlar, yatırım bölgesine göre aşağıdaki destek unsurlarından yararlandırılacaktır:</w:t>
      </w:r>
    </w:p>
    <w:p w14:paraId="6CFEE8C0" w14:textId="1762DE3E" w:rsidR="00226829" w:rsidRDefault="00226829" w:rsidP="00226829">
      <w:pPr>
        <w:ind w:left="708"/>
      </w:pPr>
      <w:r>
        <w:t>1. Sigorta Primi İşveren Hissesi Desteği</w:t>
      </w:r>
    </w:p>
    <w:p w14:paraId="3E04D866" w14:textId="7F1B5427" w:rsidR="00226829" w:rsidRDefault="00226829" w:rsidP="00226829">
      <w:pPr>
        <w:ind w:left="708"/>
      </w:pPr>
      <w:r>
        <w:t>2. Sigorta Primi Desteği</w:t>
      </w:r>
    </w:p>
    <w:p w14:paraId="5387CE43" w14:textId="14C4016A" w:rsidR="009335DD" w:rsidRPr="00E81458" w:rsidRDefault="00434A46" w:rsidP="00E81458">
      <w:pPr>
        <w:rPr>
          <w:rFonts w:asciiTheme="majorHAnsi" w:eastAsia="Dotum" w:hAnsiTheme="majorHAnsi" w:cstheme="minorHAnsi"/>
          <w:b/>
          <w:bCs/>
          <w:color w:val="0066CC"/>
        </w:rPr>
      </w:pPr>
      <w:r>
        <w:rPr>
          <w:rFonts w:asciiTheme="majorHAnsi" w:eastAsia="Dotum" w:hAnsiTheme="majorHAnsi" w:cstheme="minorHAnsi"/>
          <w:b/>
          <w:bCs/>
          <w:color w:val="0066CC"/>
        </w:rPr>
        <w:t>2</w:t>
      </w:r>
      <w:r w:rsidR="009335DD" w:rsidRPr="00BD1632">
        <w:rPr>
          <w:rFonts w:asciiTheme="majorHAnsi" w:eastAsia="Dotum" w:hAnsiTheme="majorHAnsi" w:cstheme="minorHAnsi"/>
          <w:b/>
          <w:bCs/>
          <w:color w:val="0066CC"/>
        </w:rPr>
        <w:t xml:space="preserve">) </w:t>
      </w:r>
      <w:r w:rsidR="008A5FE0">
        <w:rPr>
          <w:rFonts w:asciiTheme="majorHAnsi" w:eastAsia="Dotum" w:hAnsiTheme="majorHAnsi" w:cstheme="minorHAnsi"/>
          <w:b/>
          <w:bCs/>
          <w:color w:val="0066CC"/>
        </w:rPr>
        <w:t xml:space="preserve">Bu Yeni </w:t>
      </w:r>
      <w:r w:rsidR="009335DD">
        <w:rPr>
          <w:rFonts w:asciiTheme="majorHAnsi" w:eastAsia="Dotum" w:hAnsiTheme="majorHAnsi" w:cstheme="minorHAnsi"/>
          <w:b/>
          <w:bCs/>
          <w:color w:val="0066CC"/>
        </w:rPr>
        <w:t>Karar</w:t>
      </w:r>
      <w:r w:rsidR="008A5FE0">
        <w:rPr>
          <w:rFonts w:asciiTheme="majorHAnsi" w:eastAsia="Dotum" w:hAnsiTheme="majorHAnsi" w:cstheme="minorHAnsi"/>
          <w:b/>
          <w:bCs/>
          <w:color w:val="0066CC"/>
        </w:rPr>
        <w:t>’</w:t>
      </w:r>
      <w:r w:rsidR="009335DD">
        <w:rPr>
          <w:rFonts w:asciiTheme="majorHAnsi" w:eastAsia="Dotum" w:hAnsiTheme="majorHAnsi" w:cstheme="minorHAnsi"/>
          <w:b/>
          <w:bCs/>
          <w:color w:val="0066CC"/>
        </w:rPr>
        <w:t>ın En Dikkat Çekici Başlıkları</w:t>
      </w:r>
    </w:p>
    <w:p w14:paraId="7064B596" w14:textId="77777777" w:rsidR="00E81458" w:rsidRDefault="00E81458" w:rsidP="00E7166B">
      <w:r>
        <w:rPr>
          <w:rFonts w:ascii="Segoe UI Emoji" w:hAnsi="Segoe UI Emoji" w:cs="Segoe UI Emoji"/>
        </w:rPr>
        <w:t xml:space="preserve">1. Bu Karar ile, </w:t>
      </w:r>
      <w:r w:rsidR="00E7166B">
        <w:t>2012/3305 Sayılı BKK ( Yatırımlarda Devlet Yardımları Hakkında Karar )  ve 2018/11201 Sayılı BKK (Cazibe Merkezleri Programı Kapsamında Yatırımların Desteklenmesi ) yürürlükten kalk</w:t>
      </w:r>
      <w:r>
        <w:t xml:space="preserve">mış olmakla birlikte </w:t>
      </w:r>
      <w:r w:rsidR="00E7166B">
        <w:t>Kararın yürürlüğe girdiği tarihten önceki kararlara istinaden düzenlenen teşvik belgeleri kendi mevzuatlarına tabi olmaya devam edecektir.</w:t>
      </w:r>
      <w:r>
        <w:t xml:space="preserve"> </w:t>
      </w:r>
    </w:p>
    <w:p w14:paraId="250F382F" w14:textId="718DBA2F" w:rsidR="00E7166B" w:rsidRDefault="00E81458" w:rsidP="00E7166B">
      <w:r>
        <w:t xml:space="preserve">2. </w:t>
      </w:r>
      <w:r w:rsidR="00E7166B">
        <w:t>Sonuçlandırılmamış başvurular, müracaat tarihindeki kararlara göre sonuçlandırılacak, ancak talep halinde yeni Karara göre de değerlendirilebilecektir.</w:t>
      </w:r>
    </w:p>
    <w:p w14:paraId="6984C550" w14:textId="276AA805" w:rsidR="00E7166B" w:rsidRDefault="00E81458" w:rsidP="00E7166B">
      <w:r>
        <w:rPr>
          <w:rFonts w:ascii="Segoe UI Emoji" w:hAnsi="Segoe UI Emoji" w:cs="Segoe UI Emoji"/>
        </w:rPr>
        <w:t xml:space="preserve">3. </w:t>
      </w:r>
      <w:r w:rsidR="00E7166B">
        <w:t>Asgari sabit yatırım tutarları</w:t>
      </w:r>
      <w:r>
        <w:t xml:space="preserve">, Kararın 3 nolu ekinde </w:t>
      </w:r>
      <w:r w:rsidR="00E7166B">
        <w:t xml:space="preserve">özel olarak belirtilmemişse 1. ve 2. bölgelerde </w:t>
      </w:r>
      <w:r w:rsidR="00E7166B" w:rsidRPr="00176ECE">
        <w:rPr>
          <w:b/>
          <w:bCs/>
        </w:rPr>
        <w:t>12 milyon TL</w:t>
      </w:r>
      <w:r w:rsidR="00E7166B">
        <w:t xml:space="preserve">, diğer bölgelerde ise </w:t>
      </w:r>
      <w:r w:rsidR="00E7166B" w:rsidRPr="00176ECE">
        <w:rPr>
          <w:b/>
          <w:bCs/>
        </w:rPr>
        <w:t>6 milyon TL</w:t>
      </w:r>
      <w:r w:rsidR="00E7166B">
        <w:t xml:space="preserve"> olarak belirlenmiştir.</w:t>
      </w:r>
      <w:r>
        <w:t xml:space="preserve"> Bu tutarların altındaki yatırımlar desteklenmeyecektir.</w:t>
      </w:r>
    </w:p>
    <w:p w14:paraId="7EF8FFF2" w14:textId="7B079D83" w:rsidR="00E7166B" w:rsidRDefault="00E81458" w:rsidP="00E7166B">
      <w:r>
        <w:t xml:space="preserve">4. </w:t>
      </w:r>
      <w:r w:rsidRPr="00E81458">
        <w:t xml:space="preserve">Finansal kiralama yöntemiyle yapılacak yatırımlarda finansal kiralamaya konu makine ve teçhizata ait toplam tutarın her bir finansal kiralama şirketi için asgari </w:t>
      </w:r>
      <w:r w:rsidRPr="00176ECE">
        <w:rPr>
          <w:b/>
          <w:bCs/>
        </w:rPr>
        <w:t>3 milyon TL</w:t>
      </w:r>
      <w:r w:rsidRPr="00E81458">
        <w:t xml:space="preserve"> olması gerek</w:t>
      </w:r>
      <w:r>
        <w:t>mektedir.</w:t>
      </w:r>
    </w:p>
    <w:p w14:paraId="120344F6" w14:textId="04CEBED4" w:rsidR="00E7166B" w:rsidRDefault="00E81458" w:rsidP="00E7166B">
      <w:r>
        <w:t xml:space="preserve">5. </w:t>
      </w:r>
      <w:r w:rsidR="00E7166B">
        <w:t>Maddi olmayan duran varlıkların oranı toplam sabit yatırımın %25'ini aşama</w:t>
      </w:r>
      <w:r w:rsidR="0024556D">
        <w:t>yacaktır</w:t>
      </w:r>
      <w:r w:rsidR="00E7166B">
        <w:t xml:space="preserve"> (Dijital Dönüşüm Programı</w:t>
      </w:r>
      <w:r w:rsidR="0024556D">
        <w:t xml:space="preserve"> kapsamında desteklenen yatırımlar</w:t>
      </w:r>
      <w:r w:rsidR="00E7166B">
        <w:t xml:space="preserve"> hariç).</w:t>
      </w:r>
    </w:p>
    <w:p w14:paraId="20C60A7B" w14:textId="64B84FBF" w:rsidR="00E7166B" w:rsidRDefault="0024556D" w:rsidP="00E7166B">
      <w:r>
        <w:t xml:space="preserve">6. </w:t>
      </w:r>
      <w:r w:rsidR="00E7166B" w:rsidRPr="00B13DE2">
        <w:rPr>
          <w:b/>
          <w:bCs/>
        </w:rPr>
        <w:t>Vergi indirimi</w:t>
      </w:r>
      <w:r w:rsidR="00E7166B">
        <w:t xml:space="preserve"> desteğinde yatırım</w:t>
      </w:r>
      <w:r w:rsidR="00B13DE2">
        <w:t xml:space="preserve"> </w:t>
      </w:r>
      <w:r w:rsidR="00E7166B">
        <w:t>katkı oranları</w:t>
      </w:r>
      <w:r>
        <w:t xml:space="preserve"> kademeli olarak </w:t>
      </w:r>
      <w:r w:rsidRPr="00B13DE2">
        <w:rPr>
          <w:b/>
          <w:bCs/>
        </w:rPr>
        <w:t>%20 ile %50</w:t>
      </w:r>
      <w:r>
        <w:t xml:space="preserve"> arasında belirlenmiştir.</w:t>
      </w:r>
      <w:r w:rsidR="00E7166B">
        <w:t xml:space="preserve"> </w:t>
      </w:r>
      <w:r>
        <w:t>V</w:t>
      </w:r>
      <w:r w:rsidR="00E7166B">
        <w:t xml:space="preserve">ergi indirim oranı </w:t>
      </w:r>
      <w:r>
        <w:t xml:space="preserve">ise </w:t>
      </w:r>
      <w:r w:rsidR="00E7166B" w:rsidRPr="00B13DE2">
        <w:rPr>
          <w:b/>
          <w:bCs/>
        </w:rPr>
        <w:t>% 60</w:t>
      </w:r>
      <w:r w:rsidR="00E7166B">
        <w:t xml:space="preserve"> ile sınırlandırılmıştır.</w:t>
      </w:r>
    </w:p>
    <w:p w14:paraId="7CC0F9E1" w14:textId="003943C3" w:rsidR="00E7166B" w:rsidRDefault="0024556D" w:rsidP="00E7166B">
      <w:r>
        <w:t xml:space="preserve">7. </w:t>
      </w:r>
      <w:r w:rsidR="00E7166B">
        <w:t xml:space="preserve">Vergi indiriminin </w:t>
      </w:r>
      <w:r w:rsidR="00E7166B" w:rsidRPr="00B13DE2">
        <w:rPr>
          <w:b/>
          <w:bCs/>
        </w:rPr>
        <w:t>yatırım döneminde</w:t>
      </w:r>
      <w:r w:rsidR="00E7166B">
        <w:t xml:space="preserve"> yararlandırılacak kısmı (YKO) </w:t>
      </w:r>
      <w:r w:rsidR="00E7166B" w:rsidRPr="00B13DE2">
        <w:rPr>
          <w:b/>
          <w:bCs/>
        </w:rPr>
        <w:t>yatırıma katkı tutarının % 50'si</w:t>
      </w:r>
      <w:r w:rsidR="00E7166B">
        <w:t xml:space="preserve"> ile sınırlandırılmıştır.</w:t>
      </w:r>
      <w:r>
        <w:t xml:space="preserve"> (Daha önce bu oran %80 idi)</w:t>
      </w:r>
    </w:p>
    <w:p w14:paraId="1D6C82B6" w14:textId="3A42BE25" w:rsidR="00E7166B" w:rsidRDefault="0024556D" w:rsidP="00E7166B">
      <w:r>
        <w:t xml:space="preserve">8. </w:t>
      </w:r>
      <w:r w:rsidR="00E7166B">
        <w:t>Dijital ve Yeşil Dönüşüm Programları kapsamındaki yatırımlar da Öncelikli Yatırımlar kapsamına alın</w:t>
      </w:r>
      <w:r>
        <w:t>mıştır.</w:t>
      </w:r>
    </w:p>
    <w:p w14:paraId="1CAE35AD" w14:textId="3E4CE362" w:rsidR="00E7166B" w:rsidRDefault="0024556D" w:rsidP="00E7166B">
      <w:r>
        <w:t xml:space="preserve">9. </w:t>
      </w:r>
      <w:r w:rsidR="00E7166B">
        <w:t xml:space="preserve">Destek Unsurları arasına </w:t>
      </w:r>
      <w:r>
        <w:t xml:space="preserve">daha önce olmayan </w:t>
      </w:r>
      <w:r w:rsidR="00E7166B">
        <w:t>"Makine Desteği" eklenmiştir.</w:t>
      </w:r>
    </w:p>
    <w:p w14:paraId="63ACBD96" w14:textId="139535CE" w:rsidR="00E7166B" w:rsidRDefault="00434A46" w:rsidP="00E7166B">
      <w:r>
        <w:t xml:space="preserve">10. </w:t>
      </w:r>
      <w:r w:rsidR="00E7166B">
        <w:t>Sigorta primi işveren hissesi desteğinin uygulama süre</w:t>
      </w:r>
      <w:r>
        <w:t>leri 0 ile 1</w:t>
      </w:r>
      <w:r w:rsidR="00B13DE2">
        <w:t>4</w:t>
      </w:r>
      <w:r>
        <w:t xml:space="preserve"> yıl arasında kademelendirilmiştir.</w:t>
      </w:r>
      <w:r w:rsidR="00E7166B">
        <w:t xml:space="preserve"> </w:t>
      </w:r>
    </w:p>
    <w:p w14:paraId="04C0FE56" w14:textId="602F57E0" w:rsidR="00E7166B" w:rsidRDefault="00434A46" w:rsidP="00E7166B">
      <w:r>
        <w:rPr>
          <w:rFonts w:ascii="Segoe UI Emoji" w:hAnsi="Segoe UI Emoji" w:cs="Segoe UI Emoji"/>
        </w:rPr>
        <w:lastRenderedPageBreak/>
        <w:t xml:space="preserve">11. </w:t>
      </w:r>
      <w:r w:rsidR="00E7166B">
        <w:t>Bu karar kapsamında desteklenmeyen yatırımlara daha önceki karar kapsamındaki teşvik belgesi için kapasite artışına yol açacak makine teçhizat ilavesi yapılamayacak.</w:t>
      </w:r>
    </w:p>
    <w:p w14:paraId="07BD74C3" w14:textId="3E770677" w:rsidR="00B13DE2" w:rsidRDefault="00434A46" w:rsidP="00E7166B">
      <w:r>
        <w:t xml:space="preserve">12. </w:t>
      </w:r>
      <w:r w:rsidR="00E7166B">
        <w:t>Sanayi sicil belgesi sahiplerinin deprem ve yangın riskine yönelik yapacakları yatırımlar da yeni kapsama alınmıştır. Kararda belirtilen şartları taşıyan Elektrik üretimi, depolaması ve dağıtımına yönelik yatırımlar, öncelikli yatırım kapsamındaki desteklerden yararlanabilecek</w:t>
      </w:r>
      <w:r>
        <w:t>tir.</w:t>
      </w:r>
    </w:p>
    <w:p w14:paraId="2D69D7DE" w14:textId="63BF54C5" w:rsidR="00BD1632" w:rsidRPr="00BD1632" w:rsidRDefault="00622C49" w:rsidP="00E7166B">
      <w:pPr>
        <w:rPr>
          <w:rFonts w:asciiTheme="majorHAnsi" w:eastAsia="Dotum" w:hAnsiTheme="majorHAnsi" w:cstheme="minorHAnsi"/>
          <w:b/>
          <w:bCs/>
          <w:color w:val="0066CC"/>
        </w:rPr>
      </w:pPr>
      <w:r>
        <w:rPr>
          <w:rFonts w:asciiTheme="majorHAnsi" w:eastAsia="Dotum" w:hAnsiTheme="majorHAnsi" w:cstheme="minorHAnsi"/>
          <w:b/>
          <w:bCs/>
          <w:color w:val="0066CC"/>
        </w:rPr>
        <w:t>3</w:t>
      </w:r>
      <w:r w:rsidR="00BD1632" w:rsidRPr="00BD1632">
        <w:rPr>
          <w:rFonts w:asciiTheme="majorHAnsi" w:eastAsia="Dotum" w:hAnsiTheme="majorHAnsi" w:cstheme="minorHAnsi"/>
          <w:b/>
          <w:bCs/>
          <w:color w:val="0066CC"/>
        </w:rPr>
        <w:t xml:space="preserve">) </w:t>
      </w:r>
      <w:r w:rsidR="00434A46">
        <w:rPr>
          <w:rFonts w:asciiTheme="majorHAnsi" w:eastAsia="Dotum" w:hAnsiTheme="majorHAnsi" w:cstheme="minorHAnsi"/>
          <w:b/>
          <w:bCs/>
          <w:color w:val="0066CC"/>
        </w:rPr>
        <w:t>Yatırımlara Sağlanacak Destekler</w:t>
      </w:r>
    </w:p>
    <w:p w14:paraId="3A087F9D" w14:textId="620E7575" w:rsidR="00434A46" w:rsidRDefault="00434A46" w:rsidP="00292BC3">
      <w:r w:rsidRPr="00434A46">
        <w:t xml:space="preserve">Bu Karar ile sağlanan </w:t>
      </w:r>
      <w:r>
        <w:t>ana</w:t>
      </w:r>
      <w:r w:rsidRPr="00434A46">
        <w:t xml:space="preserve"> destekler</w:t>
      </w:r>
      <w:r w:rsidR="00E97E6A">
        <w:t>i sizler için</w:t>
      </w:r>
      <w:r w:rsidRPr="00434A46">
        <w:t xml:space="preserve"> aşağıdaki </w:t>
      </w:r>
      <w:r w:rsidR="00E97E6A">
        <w:t xml:space="preserve">şekilde özetlemeye çalıştık, </w:t>
      </w:r>
      <w:r>
        <w:t>şöyledir</w:t>
      </w:r>
      <w:r w:rsidRPr="00434A46">
        <w:t>.</w:t>
      </w:r>
    </w:p>
    <w:tbl>
      <w:tblPr>
        <w:tblStyle w:val="TabloKlavuzu"/>
        <w:tblW w:w="913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699"/>
        <w:gridCol w:w="1025"/>
        <w:gridCol w:w="1025"/>
        <w:gridCol w:w="1093"/>
        <w:gridCol w:w="1104"/>
        <w:gridCol w:w="1104"/>
        <w:gridCol w:w="1040"/>
        <w:gridCol w:w="1040"/>
      </w:tblGrid>
      <w:tr w:rsidR="00622C49" w14:paraId="67D6FE6B" w14:textId="7DAFCEC8" w:rsidTr="00622C49">
        <w:tc>
          <w:tcPr>
            <w:tcW w:w="1699" w:type="dxa"/>
            <w:vMerge w:val="restart"/>
          </w:tcPr>
          <w:p w14:paraId="30BDD350" w14:textId="07970510" w:rsidR="00622C49" w:rsidRDefault="00622C49" w:rsidP="00292BC3">
            <w:r>
              <w:t>Destek Unsurları</w:t>
            </w:r>
          </w:p>
        </w:tc>
        <w:tc>
          <w:tcPr>
            <w:tcW w:w="3143" w:type="dxa"/>
            <w:gridSpan w:val="3"/>
            <w:shd w:val="clear" w:color="auto" w:fill="E2EFD9" w:themeFill="accent6" w:themeFillTint="33"/>
          </w:tcPr>
          <w:p w14:paraId="66305D74" w14:textId="3A867BB6" w:rsidR="00622C49" w:rsidRPr="00622C49" w:rsidRDefault="00622C49" w:rsidP="00622C49">
            <w:pPr>
              <w:jc w:val="center"/>
              <w:rPr>
                <w:b/>
                <w:bCs/>
              </w:rPr>
            </w:pPr>
            <w:r w:rsidRPr="00622C49">
              <w:rPr>
                <w:b/>
                <w:bCs/>
              </w:rPr>
              <w:t>Türkiye Yüzyılı Kalkınma Hamlesi</w:t>
            </w:r>
          </w:p>
        </w:tc>
        <w:tc>
          <w:tcPr>
            <w:tcW w:w="2208" w:type="dxa"/>
            <w:gridSpan w:val="2"/>
            <w:shd w:val="clear" w:color="auto" w:fill="D9E2F3" w:themeFill="accent1" w:themeFillTint="33"/>
          </w:tcPr>
          <w:p w14:paraId="4A1B2E9C" w14:textId="73A1A42C" w:rsidR="00622C49" w:rsidRPr="00622C49" w:rsidRDefault="00622C49" w:rsidP="00622C49">
            <w:pPr>
              <w:jc w:val="center"/>
              <w:rPr>
                <w:b/>
                <w:bCs/>
              </w:rPr>
            </w:pPr>
            <w:r w:rsidRPr="00622C49">
              <w:rPr>
                <w:b/>
                <w:bCs/>
              </w:rPr>
              <w:t>Sektörel Teşvik Sistemi</w:t>
            </w:r>
          </w:p>
        </w:tc>
        <w:tc>
          <w:tcPr>
            <w:tcW w:w="2080" w:type="dxa"/>
            <w:gridSpan w:val="2"/>
            <w:shd w:val="clear" w:color="auto" w:fill="FFF2CC" w:themeFill="accent4" w:themeFillTint="33"/>
          </w:tcPr>
          <w:p w14:paraId="5C9CC245" w14:textId="4A9688E2" w:rsidR="00622C49" w:rsidRPr="00622C49" w:rsidRDefault="00622C49" w:rsidP="00622C49">
            <w:pPr>
              <w:jc w:val="center"/>
              <w:rPr>
                <w:b/>
                <w:bCs/>
              </w:rPr>
            </w:pPr>
            <w:r w:rsidRPr="00622C49">
              <w:rPr>
                <w:b/>
                <w:bCs/>
              </w:rPr>
              <w:t>Bölgesel Teşvik Sistemi</w:t>
            </w:r>
          </w:p>
        </w:tc>
      </w:tr>
      <w:tr w:rsidR="00622C49" w14:paraId="678F76FE" w14:textId="77777777" w:rsidTr="00622C49">
        <w:tc>
          <w:tcPr>
            <w:tcW w:w="1699" w:type="dxa"/>
            <w:vMerge/>
          </w:tcPr>
          <w:p w14:paraId="1A47B55E" w14:textId="77777777" w:rsidR="00622C49" w:rsidRDefault="00622C49" w:rsidP="00292BC3"/>
        </w:tc>
        <w:tc>
          <w:tcPr>
            <w:tcW w:w="1025" w:type="dxa"/>
            <w:shd w:val="clear" w:color="auto" w:fill="E2EFD9" w:themeFill="accent6" w:themeFillTint="33"/>
          </w:tcPr>
          <w:p w14:paraId="4C0594E4" w14:textId="3D5E5D19" w:rsidR="00622C49" w:rsidRDefault="00622C49" w:rsidP="00622C49">
            <w:pPr>
              <w:jc w:val="center"/>
            </w:pPr>
            <w:r w:rsidRPr="00226829">
              <w:t>Teknoloji Hamlesi Programı</w:t>
            </w:r>
          </w:p>
        </w:tc>
        <w:tc>
          <w:tcPr>
            <w:tcW w:w="1025" w:type="dxa"/>
            <w:shd w:val="clear" w:color="auto" w:fill="E2EFD9" w:themeFill="accent6" w:themeFillTint="33"/>
          </w:tcPr>
          <w:p w14:paraId="0D2DBC15" w14:textId="292DB7F4" w:rsidR="00622C49" w:rsidRDefault="00622C49" w:rsidP="00622C49">
            <w:pPr>
              <w:jc w:val="center"/>
            </w:pPr>
            <w:r w:rsidRPr="00E97E6A">
              <w:t>Yerel Kalkınma Hamlesi Programı</w:t>
            </w:r>
          </w:p>
        </w:tc>
        <w:tc>
          <w:tcPr>
            <w:tcW w:w="1093" w:type="dxa"/>
            <w:shd w:val="clear" w:color="auto" w:fill="E2EFD9" w:themeFill="accent6" w:themeFillTint="33"/>
          </w:tcPr>
          <w:p w14:paraId="2E952F85" w14:textId="149F56B6" w:rsidR="00622C49" w:rsidRDefault="00622C49" w:rsidP="00622C49">
            <w:pPr>
              <w:jc w:val="center"/>
            </w:pPr>
            <w:r w:rsidRPr="00E97E6A">
              <w:t>Stratejik Hamle Programı</w:t>
            </w:r>
          </w:p>
        </w:tc>
        <w:tc>
          <w:tcPr>
            <w:tcW w:w="1104" w:type="dxa"/>
            <w:shd w:val="clear" w:color="auto" w:fill="D9E2F3" w:themeFill="accent1" w:themeFillTint="33"/>
          </w:tcPr>
          <w:p w14:paraId="2C4CDC81" w14:textId="526BEA34" w:rsidR="00622C49" w:rsidRDefault="00622C49" w:rsidP="00622C49">
            <w:pPr>
              <w:jc w:val="center"/>
            </w:pPr>
            <w:r w:rsidRPr="00E97E6A">
              <w:t>Öncelikli Yatırımlar Teşvik Sistemi</w:t>
            </w:r>
          </w:p>
        </w:tc>
        <w:tc>
          <w:tcPr>
            <w:tcW w:w="1104" w:type="dxa"/>
            <w:shd w:val="clear" w:color="auto" w:fill="D9E2F3" w:themeFill="accent1" w:themeFillTint="33"/>
          </w:tcPr>
          <w:p w14:paraId="1BB41CE1" w14:textId="29BB1C22" w:rsidR="00622C49" w:rsidRDefault="00622C49" w:rsidP="00622C49">
            <w:pPr>
              <w:jc w:val="center"/>
            </w:pPr>
            <w:r w:rsidRPr="00C32126">
              <w:t>Hedef Yatırımlar Teşvik Sistemi</w:t>
            </w:r>
          </w:p>
        </w:tc>
        <w:tc>
          <w:tcPr>
            <w:tcW w:w="1040" w:type="dxa"/>
            <w:shd w:val="clear" w:color="auto" w:fill="FFF2CC" w:themeFill="accent4" w:themeFillTint="33"/>
          </w:tcPr>
          <w:p w14:paraId="67C4994F" w14:textId="65C1946C" w:rsidR="00622C49" w:rsidRDefault="00622C49" w:rsidP="00622C49">
            <w:pPr>
              <w:jc w:val="center"/>
            </w:pPr>
            <w:r w:rsidRPr="00E97E6A">
              <w:t>Türkiye Yüzyılı Kalkınma Hamlesi</w:t>
            </w:r>
          </w:p>
        </w:tc>
        <w:tc>
          <w:tcPr>
            <w:tcW w:w="1040" w:type="dxa"/>
            <w:shd w:val="clear" w:color="auto" w:fill="FFF2CC" w:themeFill="accent4" w:themeFillTint="33"/>
          </w:tcPr>
          <w:p w14:paraId="7C3A6707" w14:textId="3AC0C26E" w:rsidR="00622C49" w:rsidRDefault="00622C49" w:rsidP="00622C49">
            <w:pPr>
              <w:jc w:val="center"/>
            </w:pPr>
            <w:r w:rsidRPr="00E97E6A">
              <w:t>Sektörel Teşvik Sistemi</w:t>
            </w:r>
          </w:p>
        </w:tc>
      </w:tr>
      <w:tr w:rsidR="00622C49" w14:paraId="08363AD9" w14:textId="04D5B566" w:rsidTr="00622C49">
        <w:tc>
          <w:tcPr>
            <w:tcW w:w="1699" w:type="dxa"/>
          </w:tcPr>
          <w:p w14:paraId="3DEB3DB1" w14:textId="40CBAA7B" w:rsidR="00622C49" w:rsidRDefault="00622C49" w:rsidP="00622C49">
            <w:r w:rsidRPr="00E97E6A">
              <w:t>Gümrük vergisi muafiyeti</w:t>
            </w:r>
          </w:p>
        </w:tc>
        <w:tc>
          <w:tcPr>
            <w:tcW w:w="1025" w:type="dxa"/>
            <w:shd w:val="clear" w:color="auto" w:fill="E2EFD9" w:themeFill="accent6" w:themeFillTint="33"/>
          </w:tcPr>
          <w:p w14:paraId="04AA7B95" w14:textId="74D61E7B" w:rsidR="00622C49" w:rsidRDefault="00622C49" w:rsidP="00622C49">
            <w:pPr>
              <w:jc w:val="center"/>
            </w:pPr>
            <w:r w:rsidRPr="00F61BB3">
              <w:rPr>
                <w:rFonts w:ascii="Segoe UI Symbol" w:hAnsi="Segoe UI Symbol" w:cs="Segoe UI Symbol"/>
              </w:rPr>
              <w:t>✔</w:t>
            </w:r>
          </w:p>
        </w:tc>
        <w:tc>
          <w:tcPr>
            <w:tcW w:w="1025" w:type="dxa"/>
            <w:shd w:val="clear" w:color="auto" w:fill="E2EFD9" w:themeFill="accent6" w:themeFillTint="33"/>
          </w:tcPr>
          <w:p w14:paraId="1B53B329" w14:textId="627BA716" w:rsidR="00622C49" w:rsidRDefault="00622C49" w:rsidP="00622C49">
            <w:pPr>
              <w:jc w:val="center"/>
            </w:pPr>
            <w:r w:rsidRPr="00F61BB3">
              <w:rPr>
                <w:rFonts w:ascii="Segoe UI Symbol" w:hAnsi="Segoe UI Symbol" w:cs="Segoe UI Symbol"/>
              </w:rPr>
              <w:t>✔</w:t>
            </w:r>
          </w:p>
        </w:tc>
        <w:tc>
          <w:tcPr>
            <w:tcW w:w="1093" w:type="dxa"/>
            <w:shd w:val="clear" w:color="auto" w:fill="E2EFD9" w:themeFill="accent6" w:themeFillTint="33"/>
          </w:tcPr>
          <w:p w14:paraId="750CEFED" w14:textId="1D1E071D" w:rsidR="00622C49" w:rsidRDefault="00622C49" w:rsidP="00622C49">
            <w:pPr>
              <w:jc w:val="center"/>
            </w:pPr>
            <w:r w:rsidRPr="00F61BB3">
              <w:rPr>
                <w:rFonts w:ascii="Segoe UI Symbol" w:hAnsi="Segoe UI Symbol" w:cs="Segoe UI Symbol"/>
              </w:rPr>
              <w:t>✔</w:t>
            </w:r>
          </w:p>
        </w:tc>
        <w:tc>
          <w:tcPr>
            <w:tcW w:w="1104" w:type="dxa"/>
            <w:shd w:val="clear" w:color="auto" w:fill="D9E2F3" w:themeFill="accent1" w:themeFillTint="33"/>
          </w:tcPr>
          <w:p w14:paraId="0C5D549B" w14:textId="2C2E4DDC" w:rsidR="00622C49" w:rsidRDefault="00622C49" w:rsidP="00622C49">
            <w:pPr>
              <w:jc w:val="center"/>
            </w:pPr>
            <w:r w:rsidRPr="00F61BB3">
              <w:rPr>
                <w:rFonts w:ascii="Segoe UI Symbol" w:hAnsi="Segoe UI Symbol" w:cs="Segoe UI Symbol"/>
              </w:rPr>
              <w:t>✔</w:t>
            </w:r>
          </w:p>
        </w:tc>
        <w:tc>
          <w:tcPr>
            <w:tcW w:w="1104" w:type="dxa"/>
            <w:shd w:val="clear" w:color="auto" w:fill="D9E2F3" w:themeFill="accent1" w:themeFillTint="33"/>
          </w:tcPr>
          <w:p w14:paraId="73837B5F" w14:textId="48E6B143" w:rsidR="00622C49" w:rsidRDefault="00622C49" w:rsidP="00622C49">
            <w:pPr>
              <w:jc w:val="center"/>
            </w:pPr>
            <w:r w:rsidRPr="00F61BB3">
              <w:rPr>
                <w:rFonts w:ascii="Segoe UI Symbol" w:hAnsi="Segoe UI Symbol" w:cs="Segoe UI Symbol"/>
              </w:rPr>
              <w:t>✔</w:t>
            </w:r>
          </w:p>
        </w:tc>
        <w:tc>
          <w:tcPr>
            <w:tcW w:w="1040" w:type="dxa"/>
            <w:shd w:val="clear" w:color="auto" w:fill="FFF2CC" w:themeFill="accent4" w:themeFillTint="33"/>
          </w:tcPr>
          <w:p w14:paraId="1620ED24" w14:textId="77777777" w:rsidR="00622C49" w:rsidRDefault="00622C49" w:rsidP="00622C49">
            <w:pPr>
              <w:jc w:val="center"/>
            </w:pPr>
          </w:p>
        </w:tc>
        <w:tc>
          <w:tcPr>
            <w:tcW w:w="1040" w:type="dxa"/>
            <w:shd w:val="clear" w:color="auto" w:fill="FFF2CC" w:themeFill="accent4" w:themeFillTint="33"/>
          </w:tcPr>
          <w:p w14:paraId="159CC5DA" w14:textId="77777777" w:rsidR="00622C49" w:rsidRDefault="00622C49" w:rsidP="00622C49">
            <w:pPr>
              <w:jc w:val="center"/>
            </w:pPr>
          </w:p>
        </w:tc>
      </w:tr>
      <w:tr w:rsidR="00622C49" w14:paraId="0E995DDE" w14:textId="3A5EEDB9" w:rsidTr="00622C49">
        <w:tc>
          <w:tcPr>
            <w:tcW w:w="1699" w:type="dxa"/>
          </w:tcPr>
          <w:p w14:paraId="237C5639" w14:textId="6057FEAF" w:rsidR="00622C49" w:rsidRDefault="00622C49" w:rsidP="00622C49">
            <w:r w:rsidRPr="00E97E6A">
              <w:t>KDV istisnası</w:t>
            </w:r>
          </w:p>
        </w:tc>
        <w:tc>
          <w:tcPr>
            <w:tcW w:w="1025" w:type="dxa"/>
            <w:shd w:val="clear" w:color="auto" w:fill="E2EFD9" w:themeFill="accent6" w:themeFillTint="33"/>
          </w:tcPr>
          <w:p w14:paraId="740495CE" w14:textId="080815B1" w:rsidR="00622C49" w:rsidRDefault="00622C49" w:rsidP="00622C49">
            <w:pPr>
              <w:jc w:val="center"/>
            </w:pPr>
            <w:r w:rsidRPr="001E4316">
              <w:rPr>
                <w:rFonts w:ascii="Segoe UI Symbol" w:hAnsi="Segoe UI Symbol" w:cs="Segoe UI Symbol"/>
              </w:rPr>
              <w:t>✔</w:t>
            </w:r>
          </w:p>
        </w:tc>
        <w:tc>
          <w:tcPr>
            <w:tcW w:w="1025" w:type="dxa"/>
            <w:shd w:val="clear" w:color="auto" w:fill="E2EFD9" w:themeFill="accent6" w:themeFillTint="33"/>
          </w:tcPr>
          <w:p w14:paraId="6EF3FC84" w14:textId="3CC5E01E" w:rsidR="00622C49" w:rsidRDefault="00622C49" w:rsidP="00622C49">
            <w:pPr>
              <w:jc w:val="center"/>
            </w:pPr>
            <w:r w:rsidRPr="001E4316">
              <w:rPr>
                <w:rFonts w:ascii="Segoe UI Symbol" w:hAnsi="Segoe UI Symbol" w:cs="Segoe UI Symbol"/>
              </w:rPr>
              <w:t>✔</w:t>
            </w:r>
          </w:p>
        </w:tc>
        <w:tc>
          <w:tcPr>
            <w:tcW w:w="1093" w:type="dxa"/>
            <w:shd w:val="clear" w:color="auto" w:fill="E2EFD9" w:themeFill="accent6" w:themeFillTint="33"/>
          </w:tcPr>
          <w:p w14:paraId="212B3763" w14:textId="24039C8F" w:rsidR="00622C49" w:rsidRDefault="00622C49" w:rsidP="00622C49">
            <w:pPr>
              <w:jc w:val="center"/>
            </w:pPr>
            <w:r w:rsidRPr="001E4316">
              <w:rPr>
                <w:rFonts w:ascii="Segoe UI Symbol" w:hAnsi="Segoe UI Symbol" w:cs="Segoe UI Symbol"/>
              </w:rPr>
              <w:t>✔</w:t>
            </w:r>
          </w:p>
        </w:tc>
        <w:tc>
          <w:tcPr>
            <w:tcW w:w="1104" w:type="dxa"/>
            <w:shd w:val="clear" w:color="auto" w:fill="D9E2F3" w:themeFill="accent1" w:themeFillTint="33"/>
          </w:tcPr>
          <w:p w14:paraId="11F885F1" w14:textId="076DC2F9" w:rsidR="00622C49" w:rsidRDefault="00622C49" w:rsidP="00622C49">
            <w:pPr>
              <w:jc w:val="center"/>
            </w:pPr>
            <w:r w:rsidRPr="001E4316">
              <w:rPr>
                <w:rFonts w:ascii="Segoe UI Symbol" w:hAnsi="Segoe UI Symbol" w:cs="Segoe UI Symbol"/>
              </w:rPr>
              <w:t>✔</w:t>
            </w:r>
          </w:p>
        </w:tc>
        <w:tc>
          <w:tcPr>
            <w:tcW w:w="1104" w:type="dxa"/>
            <w:shd w:val="clear" w:color="auto" w:fill="D9E2F3" w:themeFill="accent1" w:themeFillTint="33"/>
          </w:tcPr>
          <w:p w14:paraId="06373224" w14:textId="552B3539" w:rsidR="00622C49" w:rsidRDefault="00622C49" w:rsidP="00622C49">
            <w:pPr>
              <w:jc w:val="center"/>
            </w:pPr>
            <w:r w:rsidRPr="001E4316">
              <w:rPr>
                <w:rFonts w:ascii="Segoe UI Symbol" w:hAnsi="Segoe UI Symbol" w:cs="Segoe UI Symbol"/>
              </w:rPr>
              <w:t>✔</w:t>
            </w:r>
          </w:p>
        </w:tc>
        <w:tc>
          <w:tcPr>
            <w:tcW w:w="1040" w:type="dxa"/>
            <w:shd w:val="clear" w:color="auto" w:fill="FFF2CC" w:themeFill="accent4" w:themeFillTint="33"/>
          </w:tcPr>
          <w:p w14:paraId="0E8B3C6A" w14:textId="77777777" w:rsidR="00622C49" w:rsidRDefault="00622C49" w:rsidP="00622C49">
            <w:pPr>
              <w:jc w:val="center"/>
            </w:pPr>
          </w:p>
        </w:tc>
        <w:tc>
          <w:tcPr>
            <w:tcW w:w="1040" w:type="dxa"/>
            <w:shd w:val="clear" w:color="auto" w:fill="FFF2CC" w:themeFill="accent4" w:themeFillTint="33"/>
          </w:tcPr>
          <w:p w14:paraId="66D2AE84" w14:textId="77777777" w:rsidR="00622C49" w:rsidRDefault="00622C49" w:rsidP="00622C49">
            <w:pPr>
              <w:jc w:val="center"/>
            </w:pPr>
          </w:p>
        </w:tc>
      </w:tr>
      <w:tr w:rsidR="00622C49" w14:paraId="5FD4A51A" w14:textId="3B7DF5C4" w:rsidTr="00622C49">
        <w:tc>
          <w:tcPr>
            <w:tcW w:w="1699" w:type="dxa"/>
          </w:tcPr>
          <w:p w14:paraId="2CB2B955" w14:textId="2AD25CC9" w:rsidR="00622C49" w:rsidRDefault="00622C49" w:rsidP="00622C49">
            <w:r w:rsidRPr="00E97E6A">
              <w:t>Vergi indirimi</w:t>
            </w:r>
          </w:p>
        </w:tc>
        <w:tc>
          <w:tcPr>
            <w:tcW w:w="1025" w:type="dxa"/>
            <w:shd w:val="clear" w:color="auto" w:fill="E2EFD9" w:themeFill="accent6" w:themeFillTint="33"/>
          </w:tcPr>
          <w:p w14:paraId="5F7CC7BF" w14:textId="3D15A651" w:rsidR="00622C49" w:rsidRDefault="00622C49" w:rsidP="00622C49">
            <w:pPr>
              <w:jc w:val="center"/>
            </w:pPr>
            <w:r w:rsidRPr="001E4316">
              <w:rPr>
                <w:rFonts w:ascii="Segoe UI Symbol" w:hAnsi="Segoe UI Symbol" w:cs="Segoe UI Symbol"/>
              </w:rPr>
              <w:t>✔</w:t>
            </w:r>
          </w:p>
        </w:tc>
        <w:tc>
          <w:tcPr>
            <w:tcW w:w="1025" w:type="dxa"/>
            <w:shd w:val="clear" w:color="auto" w:fill="E2EFD9" w:themeFill="accent6" w:themeFillTint="33"/>
          </w:tcPr>
          <w:p w14:paraId="5107CA5F" w14:textId="33CFD217" w:rsidR="00622C49" w:rsidRDefault="003846F9" w:rsidP="00622C49">
            <w:pPr>
              <w:jc w:val="center"/>
            </w:pPr>
            <w:r w:rsidRPr="001E4316">
              <w:rPr>
                <w:rFonts w:ascii="Segoe UI Symbol" w:hAnsi="Segoe UI Symbol" w:cs="Segoe UI Symbol"/>
              </w:rPr>
              <w:t>✔</w:t>
            </w:r>
          </w:p>
        </w:tc>
        <w:tc>
          <w:tcPr>
            <w:tcW w:w="1093" w:type="dxa"/>
            <w:shd w:val="clear" w:color="auto" w:fill="E2EFD9" w:themeFill="accent6" w:themeFillTint="33"/>
          </w:tcPr>
          <w:p w14:paraId="32EB6C23" w14:textId="3999D631" w:rsidR="00622C49" w:rsidRDefault="00622C49" w:rsidP="00622C49">
            <w:pPr>
              <w:jc w:val="center"/>
            </w:pPr>
            <w:r w:rsidRPr="001E4316">
              <w:rPr>
                <w:rFonts w:ascii="Segoe UI Symbol" w:hAnsi="Segoe UI Symbol" w:cs="Segoe UI Symbol"/>
              </w:rPr>
              <w:t>✔</w:t>
            </w:r>
          </w:p>
        </w:tc>
        <w:tc>
          <w:tcPr>
            <w:tcW w:w="1104" w:type="dxa"/>
            <w:shd w:val="clear" w:color="auto" w:fill="D9E2F3" w:themeFill="accent1" w:themeFillTint="33"/>
          </w:tcPr>
          <w:p w14:paraId="0CA05B73" w14:textId="18DD79F7" w:rsidR="00622C49" w:rsidRDefault="00622C49" w:rsidP="00622C49">
            <w:pPr>
              <w:jc w:val="center"/>
            </w:pPr>
            <w:r w:rsidRPr="001E4316">
              <w:rPr>
                <w:rFonts w:ascii="Segoe UI Symbol" w:hAnsi="Segoe UI Symbol" w:cs="Segoe UI Symbol"/>
              </w:rPr>
              <w:t>✔</w:t>
            </w:r>
          </w:p>
        </w:tc>
        <w:tc>
          <w:tcPr>
            <w:tcW w:w="1104" w:type="dxa"/>
            <w:shd w:val="clear" w:color="auto" w:fill="D9E2F3" w:themeFill="accent1" w:themeFillTint="33"/>
          </w:tcPr>
          <w:p w14:paraId="7EE1115B" w14:textId="75A5BC65" w:rsidR="00622C49" w:rsidRDefault="00622C49" w:rsidP="00622C49">
            <w:pPr>
              <w:jc w:val="center"/>
            </w:pPr>
            <w:r w:rsidRPr="001E4316">
              <w:rPr>
                <w:rFonts w:ascii="Segoe UI Symbol" w:hAnsi="Segoe UI Symbol" w:cs="Segoe UI Symbol"/>
              </w:rPr>
              <w:t>✔</w:t>
            </w:r>
          </w:p>
        </w:tc>
        <w:tc>
          <w:tcPr>
            <w:tcW w:w="1040" w:type="dxa"/>
            <w:shd w:val="clear" w:color="auto" w:fill="FFF2CC" w:themeFill="accent4" w:themeFillTint="33"/>
          </w:tcPr>
          <w:p w14:paraId="1B63D44F" w14:textId="77777777" w:rsidR="00622C49" w:rsidRDefault="00622C49" w:rsidP="00622C49">
            <w:pPr>
              <w:jc w:val="center"/>
            </w:pPr>
          </w:p>
        </w:tc>
        <w:tc>
          <w:tcPr>
            <w:tcW w:w="1040" w:type="dxa"/>
            <w:shd w:val="clear" w:color="auto" w:fill="FFF2CC" w:themeFill="accent4" w:themeFillTint="33"/>
          </w:tcPr>
          <w:p w14:paraId="6A4A24AF" w14:textId="77777777" w:rsidR="00622C49" w:rsidRDefault="00622C49" w:rsidP="00622C49">
            <w:pPr>
              <w:jc w:val="center"/>
            </w:pPr>
          </w:p>
        </w:tc>
      </w:tr>
      <w:tr w:rsidR="00622C49" w14:paraId="3AD9610A" w14:textId="396E4E87" w:rsidTr="00622C49">
        <w:tc>
          <w:tcPr>
            <w:tcW w:w="1699" w:type="dxa"/>
          </w:tcPr>
          <w:p w14:paraId="7BCEBE71" w14:textId="633E635C" w:rsidR="00622C49" w:rsidRDefault="00622C49" w:rsidP="00622C49">
            <w:r w:rsidRPr="00E97E6A">
              <w:t>Faiz veya kâr payı desteği</w:t>
            </w:r>
          </w:p>
        </w:tc>
        <w:tc>
          <w:tcPr>
            <w:tcW w:w="1025" w:type="dxa"/>
            <w:shd w:val="clear" w:color="auto" w:fill="E2EFD9" w:themeFill="accent6" w:themeFillTint="33"/>
          </w:tcPr>
          <w:p w14:paraId="456CF9C0" w14:textId="7437E205" w:rsidR="00622C49" w:rsidRDefault="00622C49" w:rsidP="00622C49">
            <w:pPr>
              <w:jc w:val="center"/>
            </w:pPr>
            <w:r w:rsidRPr="001E4316">
              <w:rPr>
                <w:rFonts w:ascii="Segoe UI Symbol" w:hAnsi="Segoe UI Symbol" w:cs="Segoe UI Symbol"/>
              </w:rPr>
              <w:t>✔</w:t>
            </w:r>
          </w:p>
        </w:tc>
        <w:tc>
          <w:tcPr>
            <w:tcW w:w="1025" w:type="dxa"/>
            <w:shd w:val="clear" w:color="auto" w:fill="E2EFD9" w:themeFill="accent6" w:themeFillTint="33"/>
          </w:tcPr>
          <w:p w14:paraId="00B6089B" w14:textId="705A26CE" w:rsidR="00622C49" w:rsidRDefault="00622C49" w:rsidP="00622C49">
            <w:pPr>
              <w:jc w:val="center"/>
            </w:pPr>
            <w:r w:rsidRPr="001E4316">
              <w:rPr>
                <w:rFonts w:ascii="Segoe UI Symbol" w:hAnsi="Segoe UI Symbol" w:cs="Segoe UI Symbol"/>
              </w:rPr>
              <w:t>✔</w:t>
            </w:r>
          </w:p>
        </w:tc>
        <w:tc>
          <w:tcPr>
            <w:tcW w:w="1093" w:type="dxa"/>
            <w:shd w:val="clear" w:color="auto" w:fill="E2EFD9" w:themeFill="accent6" w:themeFillTint="33"/>
          </w:tcPr>
          <w:p w14:paraId="6274CB38" w14:textId="5DBAF123" w:rsidR="00622C49" w:rsidRDefault="00622C49" w:rsidP="00622C49">
            <w:pPr>
              <w:jc w:val="center"/>
            </w:pPr>
            <w:r w:rsidRPr="001E4316">
              <w:rPr>
                <w:rFonts w:ascii="Segoe UI Symbol" w:hAnsi="Segoe UI Symbol" w:cs="Segoe UI Symbol"/>
              </w:rPr>
              <w:t>✔</w:t>
            </w:r>
          </w:p>
        </w:tc>
        <w:tc>
          <w:tcPr>
            <w:tcW w:w="1104" w:type="dxa"/>
            <w:shd w:val="clear" w:color="auto" w:fill="D9E2F3" w:themeFill="accent1" w:themeFillTint="33"/>
          </w:tcPr>
          <w:p w14:paraId="35A503EE" w14:textId="039CB25B" w:rsidR="00622C49" w:rsidRDefault="00622C49" w:rsidP="00622C49">
            <w:pPr>
              <w:jc w:val="center"/>
            </w:pPr>
            <w:r w:rsidRPr="001E4316">
              <w:rPr>
                <w:rFonts w:ascii="Segoe UI Symbol" w:hAnsi="Segoe UI Symbol" w:cs="Segoe UI Symbol"/>
              </w:rPr>
              <w:t>✔</w:t>
            </w:r>
          </w:p>
        </w:tc>
        <w:tc>
          <w:tcPr>
            <w:tcW w:w="1104" w:type="dxa"/>
            <w:shd w:val="clear" w:color="auto" w:fill="D9E2F3" w:themeFill="accent1" w:themeFillTint="33"/>
          </w:tcPr>
          <w:p w14:paraId="16948593" w14:textId="72397616" w:rsidR="00622C49" w:rsidRDefault="00622C49" w:rsidP="00622C49">
            <w:pPr>
              <w:jc w:val="center"/>
            </w:pPr>
            <w:r w:rsidRPr="001E4316">
              <w:rPr>
                <w:rFonts w:ascii="Segoe UI Symbol" w:hAnsi="Segoe UI Symbol" w:cs="Segoe UI Symbol"/>
              </w:rPr>
              <w:t>✔</w:t>
            </w:r>
          </w:p>
        </w:tc>
        <w:tc>
          <w:tcPr>
            <w:tcW w:w="1040" w:type="dxa"/>
            <w:shd w:val="clear" w:color="auto" w:fill="FFF2CC" w:themeFill="accent4" w:themeFillTint="33"/>
          </w:tcPr>
          <w:p w14:paraId="5AD51026" w14:textId="77777777" w:rsidR="00622C49" w:rsidRDefault="00622C49" w:rsidP="00622C49">
            <w:pPr>
              <w:jc w:val="center"/>
            </w:pPr>
          </w:p>
        </w:tc>
        <w:tc>
          <w:tcPr>
            <w:tcW w:w="1040" w:type="dxa"/>
            <w:shd w:val="clear" w:color="auto" w:fill="FFF2CC" w:themeFill="accent4" w:themeFillTint="33"/>
          </w:tcPr>
          <w:p w14:paraId="57C75BAC" w14:textId="77777777" w:rsidR="00622C49" w:rsidRDefault="00622C49" w:rsidP="00622C49">
            <w:pPr>
              <w:jc w:val="center"/>
            </w:pPr>
          </w:p>
        </w:tc>
      </w:tr>
      <w:tr w:rsidR="00622C49" w14:paraId="0ADA90D8" w14:textId="1614AC08" w:rsidTr="00622C49">
        <w:tc>
          <w:tcPr>
            <w:tcW w:w="1699" w:type="dxa"/>
          </w:tcPr>
          <w:p w14:paraId="406C914D" w14:textId="63CB7B6A" w:rsidR="00622C49" w:rsidRPr="00C32126" w:rsidRDefault="00622C49" w:rsidP="00622C49">
            <w:r w:rsidRPr="00E97E6A">
              <w:t>Makine desteği</w:t>
            </w:r>
            <w:r>
              <w:t xml:space="preserve"> (Yeni)</w:t>
            </w:r>
          </w:p>
        </w:tc>
        <w:tc>
          <w:tcPr>
            <w:tcW w:w="1025" w:type="dxa"/>
            <w:shd w:val="clear" w:color="auto" w:fill="E2EFD9" w:themeFill="accent6" w:themeFillTint="33"/>
          </w:tcPr>
          <w:p w14:paraId="200F1A8E" w14:textId="168C59FF" w:rsidR="00622C49" w:rsidRDefault="00622C49" w:rsidP="00622C49">
            <w:pPr>
              <w:jc w:val="center"/>
            </w:pPr>
            <w:r w:rsidRPr="001E4316">
              <w:rPr>
                <w:rFonts w:ascii="Segoe UI Symbol" w:hAnsi="Segoe UI Symbol" w:cs="Segoe UI Symbol"/>
              </w:rPr>
              <w:t>✔</w:t>
            </w:r>
          </w:p>
        </w:tc>
        <w:tc>
          <w:tcPr>
            <w:tcW w:w="1025" w:type="dxa"/>
            <w:shd w:val="clear" w:color="auto" w:fill="E2EFD9" w:themeFill="accent6" w:themeFillTint="33"/>
          </w:tcPr>
          <w:p w14:paraId="7E7A7C6B" w14:textId="4D8FA120" w:rsidR="00622C49" w:rsidRDefault="00622C49" w:rsidP="00622C49">
            <w:pPr>
              <w:jc w:val="center"/>
            </w:pPr>
            <w:r w:rsidRPr="001E4316">
              <w:rPr>
                <w:rFonts w:ascii="Segoe UI Symbol" w:hAnsi="Segoe UI Symbol" w:cs="Segoe UI Symbol"/>
              </w:rPr>
              <w:t>✔</w:t>
            </w:r>
          </w:p>
        </w:tc>
        <w:tc>
          <w:tcPr>
            <w:tcW w:w="1093" w:type="dxa"/>
            <w:shd w:val="clear" w:color="auto" w:fill="E2EFD9" w:themeFill="accent6" w:themeFillTint="33"/>
          </w:tcPr>
          <w:p w14:paraId="3C0415F9" w14:textId="67C1B5A9" w:rsidR="00622C49" w:rsidRDefault="00622C49" w:rsidP="00622C49">
            <w:pPr>
              <w:jc w:val="center"/>
            </w:pPr>
            <w:r w:rsidRPr="001E4316">
              <w:rPr>
                <w:rFonts w:ascii="Segoe UI Symbol" w:hAnsi="Segoe UI Symbol" w:cs="Segoe UI Symbol"/>
              </w:rPr>
              <w:t>✔</w:t>
            </w:r>
          </w:p>
        </w:tc>
        <w:tc>
          <w:tcPr>
            <w:tcW w:w="1104" w:type="dxa"/>
            <w:shd w:val="clear" w:color="auto" w:fill="D9E2F3" w:themeFill="accent1" w:themeFillTint="33"/>
          </w:tcPr>
          <w:p w14:paraId="03CBCA1A" w14:textId="5FAF801F" w:rsidR="00622C49" w:rsidRDefault="000217F8" w:rsidP="00622C49">
            <w:pPr>
              <w:jc w:val="center"/>
            </w:pPr>
            <w:r>
              <w:rPr>
                <w:rFonts w:ascii="Segoe UI Symbol" w:hAnsi="Segoe UI Symbol" w:cs="Segoe UI Symbol"/>
              </w:rPr>
              <w:t>-</w:t>
            </w:r>
          </w:p>
        </w:tc>
        <w:tc>
          <w:tcPr>
            <w:tcW w:w="1104" w:type="dxa"/>
            <w:shd w:val="clear" w:color="auto" w:fill="D9E2F3" w:themeFill="accent1" w:themeFillTint="33"/>
          </w:tcPr>
          <w:p w14:paraId="3C14F65A" w14:textId="21C93884" w:rsidR="00622C49" w:rsidRDefault="003846F9" w:rsidP="00622C49">
            <w:pPr>
              <w:jc w:val="center"/>
            </w:pPr>
            <w:r>
              <w:rPr>
                <w:rFonts w:ascii="Segoe UI Symbol" w:hAnsi="Segoe UI Symbol" w:cs="Segoe UI Symbol"/>
                <w:color w:val="EE0000"/>
              </w:rPr>
              <w:t>-</w:t>
            </w:r>
          </w:p>
        </w:tc>
        <w:tc>
          <w:tcPr>
            <w:tcW w:w="1040" w:type="dxa"/>
            <w:shd w:val="clear" w:color="auto" w:fill="FFF2CC" w:themeFill="accent4" w:themeFillTint="33"/>
          </w:tcPr>
          <w:p w14:paraId="0B3BA94C" w14:textId="77777777" w:rsidR="00622C49" w:rsidRDefault="00622C49" w:rsidP="00622C49">
            <w:pPr>
              <w:jc w:val="center"/>
            </w:pPr>
          </w:p>
        </w:tc>
        <w:tc>
          <w:tcPr>
            <w:tcW w:w="1040" w:type="dxa"/>
            <w:shd w:val="clear" w:color="auto" w:fill="FFF2CC" w:themeFill="accent4" w:themeFillTint="33"/>
          </w:tcPr>
          <w:p w14:paraId="32185A84" w14:textId="77777777" w:rsidR="00622C49" w:rsidRDefault="00622C49" w:rsidP="00622C49">
            <w:pPr>
              <w:jc w:val="center"/>
            </w:pPr>
          </w:p>
        </w:tc>
      </w:tr>
      <w:tr w:rsidR="00622C49" w14:paraId="2BB3B305" w14:textId="77777777" w:rsidTr="00622C49">
        <w:tc>
          <w:tcPr>
            <w:tcW w:w="1699" w:type="dxa"/>
          </w:tcPr>
          <w:p w14:paraId="750774EC" w14:textId="40EBE3CC" w:rsidR="00622C49" w:rsidRDefault="00622C49" w:rsidP="00622C49">
            <w:r w:rsidRPr="00E97E6A">
              <w:t>Yatırım yeri tahsisi</w:t>
            </w:r>
          </w:p>
        </w:tc>
        <w:tc>
          <w:tcPr>
            <w:tcW w:w="1025" w:type="dxa"/>
            <w:shd w:val="clear" w:color="auto" w:fill="E2EFD9" w:themeFill="accent6" w:themeFillTint="33"/>
          </w:tcPr>
          <w:p w14:paraId="3A1D85E9" w14:textId="4469AAC0" w:rsidR="00622C49" w:rsidRDefault="00622C49" w:rsidP="00622C49">
            <w:pPr>
              <w:jc w:val="center"/>
            </w:pPr>
            <w:r w:rsidRPr="001E4316">
              <w:rPr>
                <w:rFonts w:ascii="Segoe UI Symbol" w:hAnsi="Segoe UI Symbol" w:cs="Segoe UI Symbol"/>
              </w:rPr>
              <w:t>✔</w:t>
            </w:r>
          </w:p>
        </w:tc>
        <w:tc>
          <w:tcPr>
            <w:tcW w:w="1025" w:type="dxa"/>
            <w:shd w:val="clear" w:color="auto" w:fill="E2EFD9" w:themeFill="accent6" w:themeFillTint="33"/>
          </w:tcPr>
          <w:p w14:paraId="19A6FF02" w14:textId="1A251EDF" w:rsidR="00622C49" w:rsidRDefault="00622C49" w:rsidP="00622C49">
            <w:pPr>
              <w:jc w:val="center"/>
            </w:pPr>
            <w:r w:rsidRPr="001E4316">
              <w:rPr>
                <w:rFonts w:ascii="Segoe UI Symbol" w:hAnsi="Segoe UI Symbol" w:cs="Segoe UI Symbol"/>
              </w:rPr>
              <w:t>✔</w:t>
            </w:r>
          </w:p>
        </w:tc>
        <w:tc>
          <w:tcPr>
            <w:tcW w:w="1093" w:type="dxa"/>
            <w:shd w:val="clear" w:color="auto" w:fill="E2EFD9" w:themeFill="accent6" w:themeFillTint="33"/>
          </w:tcPr>
          <w:p w14:paraId="3691AE84" w14:textId="0D630E75" w:rsidR="00622C49" w:rsidRDefault="00622C49" w:rsidP="00622C49">
            <w:pPr>
              <w:jc w:val="center"/>
            </w:pPr>
            <w:r w:rsidRPr="001E4316">
              <w:rPr>
                <w:rFonts w:ascii="Segoe UI Symbol" w:hAnsi="Segoe UI Symbol" w:cs="Segoe UI Symbol"/>
              </w:rPr>
              <w:t>✔</w:t>
            </w:r>
          </w:p>
        </w:tc>
        <w:tc>
          <w:tcPr>
            <w:tcW w:w="1104" w:type="dxa"/>
            <w:shd w:val="clear" w:color="auto" w:fill="D9E2F3" w:themeFill="accent1" w:themeFillTint="33"/>
          </w:tcPr>
          <w:p w14:paraId="0DE0E00A" w14:textId="2E13CE86" w:rsidR="00622C49" w:rsidRDefault="00622C49" w:rsidP="00622C49">
            <w:pPr>
              <w:jc w:val="center"/>
            </w:pPr>
            <w:r w:rsidRPr="001E4316">
              <w:rPr>
                <w:rFonts w:ascii="Segoe UI Symbol" w:hAnsi="Segoe UI Symbol" w:cs="Segoe UI Symbol"/>
              </w:rPr>
              <w:t>✔</w:t>
            </w:r>
          </w:p>
        </w:tc>
        <w:tc>
          <w:tcPr>
            <w:tcW w:w="1104" w:type="dxa"/>
            <w:shd w:val="clear" w:color="auto" w:fill="D9E2F3" w:themeFill="accent1" w:themeFillTint="33"/>
          </w:tcPr>
          <w:p w14:paraId="06FF8A32" w14:textId="7C11451F" w:rsidR="00622C49" w:rsidRDefault="00622C49" w:rsidP="00622C49">
            <w:pPr>
              <w:jc w:val="center"/>
            </w:pPr>
            <w:r w:rsidRPr="001E4316">
              <w:rPr>
                <w:rFonts w:ascii="Segoe UI Symbol" w:hAnsi="Segoe UI Symbol" w:cs="Segoe UI Symbol"/>
              </w:rPr>
              <w:t>✔</w:t>
            </w:r>
          </w:p>
        </w:tc>
        <w:tc>
          <w:tcPr>
            <w:tcW w:w="1040" w:type="dxa"/>
            <w:shd w:val="clear" w:color="auto" w:fill="FFF2CC" w:themeFill="accent4" w:themeFillTint="33"/>
          </w:tcPr>
          <w:p w14:paraId="14655A3D" w14:textId="77777777" w:rsidR="00622C49" w:rsidRDefault="00622C49" w:rsidP="00622C49">
            <w:pPr>
              <w:jc w:val="center"/>
            </w:pPr>
          </w:p>
        </w:tc>
        <w:tc>
          <w:tcPr>
            <w:tcW w:w="1040" w:type="dxa"/>
            <w:shd w:val="clear" w:color="auto" w:fill="FFF2CC" w:themeFill="accent4" w:themeFillTint="33"/>
          </w:tcPr>
          <w:p w14:paraId="0F4380DF" w14:textId="77777777" w:rsidR="00622C49" w:rsidRDefault="00622C49" w:rsidP="00622C49">
            <w:pPr>
              <w:jc w:val="center"/>
            </w:pPr>
          </w:p>
        </w:tc>
      </w:tr>
      <w:tr w:rsidR="00622C49" w14:paraId="6866D88B" w14:textId="77777777" w:rsidTr="00622C49">
        <w:tc>
          <w:tcPr>
            <w:tcW w:w="1699" w:type="dxa"/>
          </w:tcPr>
          <w:p w14:paraId="25B7B003" w14:textId="348ECFEB" w:rsidR="00622C49" w:rsidRDefault="00622C49" w:rsidP="00622C49">
            <w:r w:rsidRPr="00E97E6A">
              <w:t>Sigorta primi işveren hissesi desteği (bölgeye göre)</w:t>
            </w:r>
          </w:p>
        </w:tc>
        <w:tc>
          <w:tcPr>
            <w:tcW w:w="1025" w:type="dxa"/>
            <w:shd w:val="clear" w:color="auto" w:fill="E2EFD9" w:themeFill="accent6" w:themeFillTint="33"/>
          </w:tcPr>
          <w:p w14:paraId="12E8197E" w14:textId="24C85F91" w:rsidR="00622C49" w:rsidRDefault="00622C49" w:rsidP="00622C49">
            <w:pPr>
              <w:jc w:val="center"/>
            </w:pPr>
          </w:p>
        </w:tc>
        <w:tc>
          <w:tcPr>
            <w:tcW w:w="1025" w:type="dxa"/>
            <w:shd w:val="clear" w:color="auto" w:fill="E2EFD9" w:themeFill="accent6" w:themeFillTint="33"/>
          </w:tcPr>
          <w:p w14:paraId="6D26A54D" w14:textId="77777777" w:rsidR="00622C49" w:rsidRDefault="00622C49" w:rsidP="00622C49">
            <w:pPr>
              <w:jc w:val="center"/>
            </w:pPr>
          </w:p>
        </w:tc>
        <w:tc>
          <w:tcPr>
            <w:tcW w:w="1093" w:type="dxa"/>
            <w:shd w:val="clear" w:color="auto" w:fill="E2EFD9" w:themeFill="accent6" w:themeFillTint="33"/>
          </w:tcPr>
          <w:p w14:paraId="7EA07374" w14:textId="77777777" w:rsidR="00622C49" w:rsidRDefault="00622C49" w:rsidP="00622C49">
            <w:pPr>
              <w:jc w:val="center"/>
            </w:pPr>
          </w:p>
        </w:tc>
        <w:tc>
          <w:tcPr>
            <w:tcW w:w="1104" w:type="dxa"/>
            <w:shd w:val="clear" w:color="auto" w:fill="D9E2F3" w:themeFill="accent1" w:themeFillTint="33"/>
          </w:tcPr>
          <w:p w14:paraId="6C7A2C56" w14:textId="77777777" w:rsidR="00622C49" w:rsidRDefault="00622C49" w:rsidP="00622C49">
            <w:pPr>
              <w:jc w:val="center"/>
            </w:pPr>
          </w:p>
        </w:tc>
        <w:tc>
          <w:tcPr>
            <w:tcW w:w="1104" w:type="dxa"/>
            <w:shd w:val="clear" w:color="auto" w:fill="D9E2F3" w:themeFill="accent1" w:themeFillTint="33"/>
          </w:tcPr>
          <w:p w14:paraId="2603E18B" w14:textId="77777777" w:rsidR="00622C49" w:rsidRDefault="00622C49" w:rsidP="00622C49">
            <w:pPr>
              <w:jc w:val="center"/>
            </w:pPr>
          </w:p>
        </w:tc>
        <w:tc>
          <w:tcPr>
            <w:tcW w:w="1040" w:type="dxa"/>
            <w:shd w:val="clear" w:color="auto" w:fill="FFF2CC" w:themeFill="accent4" w:themeFillTint="33"/>
          </w:tcPr>
          <w:p w14:paraId="7DF06689" w14:textId="45D6F92B" w:rsidR="00622C49" w:rsidRDefault="00622C49" w:rsidP="00622C49">
            <w:pPr>
              <w:jc w:val="center"/>
            </w:pPr>
            <w:r w:rsidRPr="00361F59">
              <w:rPr>
                <w:rFonts w:ascii="Segoe UI Symbol" w:hAnsi="Segoe UI Symbol" w:cs="Segoe UI Symbol"/>
              </w:rPr>
              <w:t>✔</w:t>
            </w:r>
          </w:p>
        </w:tc>
        <w:tc>
          <w:tcPr>
            <w:tcW w:w="1040" w:type="dxa"/>
            <w:shd w:val="clear" w:color="auto" w:fill="FFF2CC" w:themeFill="accent4" w:themeFillTint="33"/>
          </w:tcPr>
          <w:p w14:paraId="0A9A9C32" w14:textId="22C42AD0" w:rsidR="00622C49" w:rsidRDefault="00622C49" w:rsidP="00622C49">
            <w:pPr>
              <w:jc w:val="center"/>
            </w:pPr>
            <w:r w:rsidRPr="00361F59">
              <w:rPr>
                <w:rFonts w:ascii="Segoe UI Symbol" w:hAnsi="Segoe UI Symbol" w:cs="Segoe UI Symbol"/>
              </w:rPr>
              <w:t>✔</w:t>
            </w:r>
          </w:p>
        </w:tc>
      </w:tr>
      <w:tr w:rsidR="00622C49" w14:paraId="013C4251" w14:textId="77777777" w:rsidTr="00622C49">
        <w:tc>
          <w:tcPr>
            <w:tcW w:w="1699" w:type="dxa"/>
          </w:tcPr>
          <w:p w14:paraId="7A9B9D6C" w14:textId="492401B6" w:rsidR="00622C49" w:rsidRDefault="00622C49" w:rsidP="00622C49">
            <w:r w:rsidRPr="00E97E6A">
              <w:t>Sigorta primi desteği (</w:t>
            </w:r>
            <w:r>
              <w:t xml:space="preserve">sadece </w:t>
            </w:r>
            <w:r w:rsidRPr="00E97E6A">
              <w:t>6. bölge</w:t>
            </w:r>
            <w:r>
              <w:t>de</w:t>
            </w:r>
            <w:r w:rsidRPr="00E97E6A">
              <w:t>)</w:t>
            </w:r>
          </w:p>
        </w:tc>
        <w:tc>
          <w:tcPr>
            <w:tcW w:w="1025" w:type="dxa"/>
            <w:shd w:val="clear" w:color="auto" w:fill="E2EFD9" w:themeFill="accent6" w:themeFillTint="33"/>
          </w:tcPr>
          <w:p w14:paraId="3EF33AAF" w14:textId="36071305" w:rsidR="00622C49" w:rsidRDefault="00622C49" w:rsidP="00622C49">
            <w:pPr>
              <w:jc w:val="center"/>
            </w:pPr>
          </w:p>
        </w:tc>
        <w:tc>
          <w:tcPr>
            <w:tcW w:w="1025" w:type="dxa"/>
            <w:shd w:val="clear" w:color="auto" w:fill="E2EFD9" w:themeFill="accent6" w:themeFillTint="33"/>
          </w:tcPr>
          <w:p w14:paraId="141F2E8F" w14:textId="77777777" w:rsidR="00622C49" w:rsidRDefault="00622C49" w:rsidP="00622C49">
            <w:pPr>
              <w:jc w:val="center"/>
            </w:pPr>
          </w:p>
        </w:tc>
        <w:tc>
          <w:tcPr>
            <w:tcW w:w="1093" w:type="dxa"/>
            <w:shd w:val="clear" w:color="auto" w:fill="E2EFD9" w:themeFill="accent6" w:themeFillTint="33"/>
          </w:tcPr>
          <w:p w14:paraId="0B49D568" w14:textId="77777777" w:rsidR="00622C49" w:rsidRDefault="00622C49" w:rsidP="00622C49">
            <w:pPr>
              <w:jc w:val="center"/>
            </w:pPr>
          </w:p>
        </w:tc>
        <w:tc>
          <w:tcPr>
            <w:tcW w:w="1104" w:type="dxa"/>
            <w:shd w:val="clear" w:color="auto" w:fill="D9E2F3" w:themeFill="accent1" w:themeFillTint="33"/>
          </w:tcPr>
          <w:p w14:paraId="2A8CA5C3" w14:textId="77777777" w:rsidR="00622C49" w:rsidRDefault="00622C49" w:rsidP="00622C49">
            <w:pPr>
              <w:jc w:val="center"/>
            </w:pPr>
          </w:p>
        </w:tc>
        <w:tc>
          <w:tcPr>
            <w:tcW w:w="1104" w:type="dxa"/>
            <w:shd w:val="clear" w:color="auto" w:fill="D9E2F3" w:themeFill="accent1" w:themeFillTint="33"/>
          </w:tcPr>
          <w:p w14:paraId="70BFFF68" w14:textId="77777777" w:rsidR="00622C49" w:rsidRDefault="00622C49" w:rsidP="00622C49">
            <w:pPr>
              <w:jc w:val="center"/>
            </w:pPr>
          </w:p>
        </w:tc>
        <w:tc>
          <w:tcPr>
            <w:tcW w:w="1040" w:type="dxa"/>
            <w:shd w:val="clear" w:color="auto" w:fill="FFF2CC" w:themeFill="accent4" w:themeFillTint="33"/>
          </w:tcPr>
          <w:p w14:paraId="10B62342" w14:textId="6321CD0C" w:rsidR="00622C49" w:rsidRDefault="00622C49" w:rsidP="00622C49">
            <w:pPr>
              <w:jc w:val="center"/>
            </w:pPr>
            <w:r w:rsidRPr="00361F59">
              <w:rPr>
                <w:rFonts w:ascii="Segoe UI Symbol" w:hAnsi="Segoe UI Symbol" w:cs="Segoe UI Symbol"/>
              </w:rPr>
              <w:t>✔</w:t>
            </w:r>
          </w:p>
        </w:tc>
        <w:tc>
          <w:tcPr>
            <w:tcW w:w="1040" w:type="dxa"/>
            <w:shd w:val="clear" w:color="auto" w:fill="FFF2CC" w:themeFill="accent4" w:themeFillTint="33"/>
          </w:tcPr>
          <w:p w14:paraId="367352CD" w14:textId="5AAB4527" w:rsidR="00622C49" w:rsidRDefault="00622C49" w:rsidP="00622C49">
            <w:pPr>
              <w:jc w:val="center"/>
            </w:pPr>
            <w:r w:rsidRPr="00361F59">
              <w:rPr>
                <w:rFonts w:ascii="Segoe UI Symbol" w:hAnsi="Segoe UI Symbol" w:cs="Segoe UI Symbol"/>
              </w:rPr>
              <w:t>✔</w:t>
            </w:r>
          </w:p>
        </w:tc>
      </w:tr>
    </w:tbl>
    <w:p w14:paraId="38CAF8DB" w14:textId="77777777" w:rsidR="00622C49" w:rsidRDefault="00622C49" w:rsidP="00300143">
      <w:pPr>
        <w:spacing w:before="0" w:after="0"/>
        <w:rPr>
          <w:rFonts w:asciiTheme="majorHAnsi" w:eastAsia="Dotum" w:hAnsiTheme="majorHAnsi" w:cstheme="minorHAnsi"/>
          <w:b/>
          <w:bCs/>
          <w:color w:val="0066CC"/>
        </w:rPr>
      </w:pPr>
    </w:p>
    <w:p w14:paraId="3B6DEB51" w14:textId="460B8652" w:rsidR="00292BC3" w:rsidRPr="00292BC3" w:rsidRDefault="00622C49" w:rsidP="00292BC3">
      <w:pPr>
        <w:rPr>
          <w:rFonts w:asciiTheme="majorHAnsi" w:eastAsia="Dotum" w:hAnsiTheme="majorHAnsi" w:cstheme="minorHAnsi"/>
          <w:b/>
          <w:bCs/>
          <w:color w:val="0066CC"/>
        </w:rPr>
      </w:pPr>
      <w:r>
        <w:rPr>
          <w:rFonts w:asciiTheme="majorHAnsi" w:eastAsia="Dotum" w:hAnsiTheme="majorHAnsi" w:cstheme="minorHAnsi"/>
          <w:b/>
          <w:bCs/>
          <w:color w:val="0066CC"/>
        </w:rPr>
        <w:t>4</w:t>
      </w:r>
      <w:r w:rsidR="00292BC3" w:rsidRPr="00BD1632">
        <w:rPr>
          <w:rFonts w:asciiTheme="majorHAnsi" w:eastAsia="Dotum" w:hAnsiTheme="majorHAnsi" w:cstheme="minorHAnsi"/>
          <w:b/>
          <w:bCs/>
          <w:color w:val="0066CC"/>
        </w:rPr>
        <w:t xml:space="preserve">) </w:t>
      </w:r>
      <w:r w:rsidR="00BD0DE3">
        <w:rPr>
          <w:rFonts w:asciiTheme="majorHAnsi" w:eastAsia="Dotum" w:hAnsiTheme="majorHAnsi" w:cstheme="minorHAnsi"/>
          <w:b/>
          <w:bCs/>
          <w:color w:val="0066CC"/>
        </w:rPr>
        <w:t>Vergi İndirimi</w:t>
      </w:r>
    </w:p>
    <w:p w14:paraId="42C6B4FB" w14:textId="1385DB90" w:rsidR="001C4E56" w:rsidRDefault="001C4E56" w:rsidP="00EE0B19">
      <w:r>
        <w:t>Karar’ın 20’nci maddesindeki düzenleme uyarınca;</w:t>
      </w:r>
    </w:p>
    <w:p w14:paraId="11A7D6B6" w14:textId="64F544BD" w:rsidR="00EE0B19" w:rsidRDefault="00EE0B19" w:rsidP="00300143">
      <w:pPr>
        <w:spacing w:before="120"/>
      </w:pPr>
      <w:r>
        <w:t xml:space="preserve">(1) </w:t>
      </w:r>
      <w:r w:rsidR="0007108B">
        <w:t>Bu Karar kapsamında desteklenen yatırımlarda, 5520 sayılı Kanunun 32/A maddesi çerçevesinde gelir veya kurumlar vergisi</w:t>
      </w:r>
      <w:r>
        <w:t xml:space="preserve"> aşağıdaki yatırıma katkı oranları</w:t>
      </w:r>
      <w:r w:rsidRPr="00EE0B19">
        <w:t xml:space="preserve"> </w:t>
      </w:r>
      <w:r>
        <w:t xml:space="preserve">üzerinden hesaplanan yatırıma katkı tutarına ulaşıncaya kadar </w:t>
      </w:r>
      <w:r w:rsidRPr="00EE0B19">
        <w:rPr>
          <w:b/>
          <w:bCs/>
        </w:rPr>
        <w:t>%60 indirimli</w:t>
      </w:r>
      <w:r>
        <w:t xml:space="preserve"> olarak uygulanacaktır. Diğer bir anlatımla yatırıma katkı oranları aşağıda yer aldığı üzere program/sistem türüne göre </w:t>
      </w:r>
      <w:r w:rsidRPr="00105415">
        <w:rPr>
          <w:b/>
          <w:bCs/>
        </w:rPr>
        <w:t>%20 ile %50</w:t>
      </w:r>
      <w:r>
        <w:t xml:space="preserve"> arasında kademelendirilir iken, vergi indirimi oranı hepsi için </w:t>
      </w:r>
      <w:r w:rsidRPr="00EE0B19">
        <w:t>%60</w:t>
      </w:r>
      <w:r>
        <w:t xml:space="preserve"> olarak belirlenmiştir.</w:t>
      </w:r>
      <w:r w:rsidR="00800C49">
        <w:t xml:space="preserve"> Yüzde 60 oranı</w:t>
      </w:r>
      <w:r w:rsidR="00800C49" w:rsidRPr="00800C49">
        <w:t xml:space="preserve"> %25 olan </w:t>
      </w:r>
      <w:r w:rsidR="00800C49">
        <w:t xml:space="preserve">kurumlar </w:t>
      </w:r>
      <w:r w:rsidR="00800C49" w:rsidRPr="00800C49">
        <w:t>vergi</w:t>
      </w:r>
      <w:r w:rsidR="00800C49">
        <w:t xml:space="preserve">si </w:t>
      </w:r>
      <w:r w:rsidR="00800C49" w:rsidRPr="00800C49">
        <w:t xml:space="preserve"> oranı</w:t>
      </w:r>
      <w:r w:rsidR="00800C49">
        <w:t xml:space="preserve"> dikkate alındığında </w:t>
      </w:r>
      <w:r w:rsidR="00800C49" w:rsidRPr="00800C49">
        <w:t xml:space="preserve">yurtiçi asgari kurumlar vergisi oranı olan %10’a </w:t>
      </w:r>
      <w:r w:rsidR="00800C49">
        <w:t xml:space="preserve">denk </w:t>
      </w:r>
      <w:r w:rsidR="00800C49" w:rsidRPr="00800C49">
        <w:t>düş</w:t>
      </w:r>
      <w:r w:rsidR="00800C49">
        <w:t>mektedir</w:t>
      </w:r>
      <w:r w:rsidR="00800C49" w:rsidRPr="00800C49">
        <w:t xml:space="preserve">. </w:t>
      </w:r>
      <w:r w:rsidR="00800C49">
        <w:t xml:space="preserve">Bu </w:t>
      </w:r>
      <w:r w:rsidR="00800C49">
        <w:lastRenderedPageBreak/>
        <w:t xml:space="preserve">Devletin yatırımcı şirketlerden de en az </w:t>
      </w:r>
      <w:r w:rsidR="00800C49" w:rsidRPr="00800C49">
        <w:t>asgari kurumlar vergisi</w:t>
      </w:r>
      <w:r w:rsidR="00800C49">
        <w:t xml:space="preserve"> kadar vergi alma iradesinin bir yansımasıdır</w:t>
      </w:r>
      <w:r w:rsidR="00800C49" w:rsidRPr="00800C49">
        <w:t>.</w:t>
      </w:r>
    </w:p>
    <w:tbl>
      <w:tblPr>
        <w:tblW w:w="523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3683"/>
        <w:gridCol w:w="1552"/>
      </w:tblGrid>
      <w:tr w:rsidR="00EE0B19" w:rsidRPr="00EE0B19" w14:paraId="6EFD6951" w14:textId="77777777" w:rsidTr="00EE0B19">
        <w:tc>
          <w:tcPr>
            <w:tcW w:w="0" w:type="auto"/>
            <w:shd w:val="clear" w:color="auto" w:fill="FFFFFF"/>
            <w:tcMar>
              <w:top w:w="120" w:type="dxa"/>
              <w:left w:w="120" w:type="dxa"/>
              <w:bottom w:w="120" w:type="dxa"/>
              <w:right w:w="120" w:type="dxa"/>
            </w:tcMar>
            <w:hideMark/>
          </w:tcPr>
          <w:p w14:paraId="773DBF06" w14:textId="77777777" w:rsidR="00EE0B19" w:rsidRPr="00EE0B19" w:rsidRDefault="00EE0B19" w:rsidP="00EE0B19">
            <w:pPr>
              <w:spacing w:after="0"/>
            </w:pPr>
            <w:r w:rsidRPr="00EE0B19">
              <w:rPr>
                <w:b/>
                <w:bCs/>
              </w:rPr>
              <w:t>Program / Sistem</w:t>
            </w:r>
          </w:p>
        </w:tc>
        <w:tc>
          <w:tcPr>
            <w:tcW w:w="1552" w:type="dxa"/>
            <w:shd w:val="clear" w:color="auto" w:fill="FFFFFF"/>
            <w:tcMar>
              <w:top w:w="120" w:type="dxa"/>
              <w:left w:w="120" w:type="dxa"/>
              <w:bottom w:w="120" w:type="dxa"/>
              <w:right w:w="120" w:type="dxa"/>
            </w:tcMar>
            <w:hideMark/>
          </w:tcPr>
          <w:p w14:paraId="16D6512D" w14:textId="77777777" w:rsidR="00EE0B19" w:rsidRPr="00EE0B19" w:rsidRDefault="00EE0B19" w:rsidP="00EE0B19">
            <w:pPr>
              <w:spacing w:after="0"/>
              <w:jc w:val="center"/>
            </w:pPr>
            <w:r w:rsidRPr="00EE0B19">
              <w:rPr>
                <w:b/>
                <w:bCs/>
              </w:rPr>
              <w:t>Yatırıma Katkı Oranı</w:t>
            </w:r>
          </w:p>
        </w:tc>
      </w:tr>
      <w:tr w:rsidR="00EE0B19" w:rsidRPr="00EE0B19" w14:paraId="71648FAC" w14:textId="77777777" w:rsidTr="00EE0B19">
        <w:tc>
          <w:tcPr>
            <w:tcW w:w="0" w:type="auto"/>
            <w:shd w:val="clear" w:color="auto" w:fill="FFFFFF"/>
            <w:tcMar>
              <w:top w:w="120" w:type="dxa"/>
              <w:left w:w="120" w:type="dxa"/>
              <w:bottom w:w="120" w:type="dxa"/>
              <w:right w:w="120" w:type="dxa"/>
            </w:tcMar>
            <w:hideMark/>
          </w:tcPr>
          <w:p w14:paraId="0ABE397F" w14:textId="77777777" w:rsidR="00EE0B19" w:rsidRPr="00EE0B19" w:rsidRDefault="00EE0B19" w:rsidP="00EE0B19">
            <w:pPr>
              <w:spacing w:after="0"/>
            </w:pPr>
            <w:r w:rsidRPr="00EE0B19">
              <w:t>Teknoloji Hamlesi Programı</w:t>
            </w:r>
          </w:p>
        </w:tc>
        <w:tc>
          <w:tcPr>
            <w:tcW w:w="1552" w:type="dxa"/>
            <w:shd w:val="clear" w:color="auto" w:fill="FFFFFF"/>
            <w:tcMar>
              <w:top w:w="120" w:type="dxa"/>
              <w:left w:w="120" w:type="dxa"/>
              <w:bottom w:w="120" w:type="dxa"/>
              <w:right w:w="120" w:type="dxa"/>
            </w:tcMar>
            <w:hideMark/>
          </w:tcPr>
          <w:p w14:paraId="3EB0745C" w14:textId="77777777" w:rsidR="00EE0B19" w:rsidRPr="00EE0B19" w:rsidRDefault="00EE0B19" w:rsidP="00EE0B19">
            <w:pPr>
              <w:spacing w:after="0"/>
              <w:jc w:val="center"/>
            </w:pPr>
            <w:r w:rsidRPr="00EE0B19">
              <w:t>%50</w:t>
            </w:r>
          </w:p>
        </w:tc>
      </w:tr>
      <w:tr w:rsidR="00EE0B19" w:rsidRPr="00EE0B19" w14:paraId="2AB8F315" w14:textId="77777777" w:rsidTr="00EE0B19">
        <w:tc>
          <w:tcPr>
            <w:tcW w:w="0" w:type="auto"/>
            <w:shd w:val="clear" w:color="auto" w:fill="FFFFFF"/>
            <w:tcMar>
              <w:top w:w="120" w:type="dxa"/>
              <w:left w:w="120" w:type="dxa"/>
              <w:bottom w:w="120" w:type="dxa"/>
              <w:right w:w="120" w:type="dxa"/>
            </w:tcMar>
            <w:hideMark/>
          </w:tcPr>
          <w:p w14:paraId="39E8C0CE" w14:textId="77777777" w:rsidR="00EE0B19" w:rsidRPr="00EE0B19" w:rsidRDefault="00EE0B19" w:rsidP="00EE0B19">
            <w:pPr>
              <w:spacing w:after="0"/>
            </w:pPr>
            <w:r w:rsidRPr="00EE0B19">
              <w:t>Yerel Kalkınma Hamlesi Programı</w:t>
            </w:r>
          </w:p>
        </w:tc>
        <w:tc>
          <w:tcPr>
            <w:tcW w:w="1552" w:type="dxa"/>
            <w:shd w:val="clear" w:color="auto" w:fill="FFFFFF"/>
            <w:tcMar>
              <w:top w:w="120" w:type="dxa"/>
              <w:left w:w="120" w:type="dxa"/>
              <w:bottom w:w="120" w:type="dxa"/>
              <w:right w:w="120" w:type="dxa"/>
            </w:tcMar>
            <w:hideMark/>
          </w:tcPr>
          <w:p w14:paraId="31397A79" w14:textId="77777777" w:rsidR="00EE0B19" w:rsidRPr="00EE0B19" w:rsidRDefault="00EE0B19" w:rsidP="00EE0B19">
            <w:pPr>
              <w:spacing w:after="0"/>
              <w:jc w:val="center"/>
            </w:pPr>
            <w:r w:rsidRPr="00EE0B19">
              <w:t>%50</w:t>
            </w:r>
          </w:p>
        </w:tc>
      </w:tr>
      <w:tr w:rsidR="00EE0B19" w:rsidRPr="00EE0B19" w14:paraId="444F64D9" w14:textId="77777777" w:rsidTr="00EE0B19">
        <w:tc>
          <w:tcPr>
            <w:tcW w:w="0" w:type="auto"/>
            <w:shd w:val="clear" w:color="auto" w:fill="FFFFFF"/>
            <w:tcMar>
              <w:top w:w="120" w:type="dxa"/>
              <w:left w:w="120" w:type="dxa"/>
              <w:bottom w:w="120" w:type="dxa"/>
              <w:right w:w="120" w:type="dxa"/>
            </w:tcMar>
            <w:hideMark/>
          </w:tcPr>
          <w:p w14:paraId="145243D9" w14:textId="77777777" w:rsidR="00EE0B19" w:rsidRPr="00EE0B19" w:rsidRDefault="00EE0B19" w:rsidP="00EE0B19">
            <w:pPr>
              <w:spacing w:after="0"/>
            </w:pPr>
            <w:r w:rsidRPr="00EE0B19">
              <w:t>Stratejik Hamle Programı</w:t>
            </w:r>
          </w:p>
        </w:tc>
        <w:tc>
          <w:tcPr>
            <w:tcW w:w="1552" w:type="dxa"/>
            <w:shd w:val="clear" w:color="auto" w:fill="FFFFFF"/>
            <w:tcMar>
              <w:top w:w="120" w:type="dxa"/>
              <w:left w:w="120" w:type="dxa"/>
              <w:bottom w:w="120" w:type="dxa"/>
              <w:right w:w="120" w:type="dxa"/>
            </w:tcMar>
            <w:hideMark/>
          </w:tcPr>
          <w:p w14:paraId="33019FCB" w14:textId="77777777" w:rsidR="00EE0B19" w:rsidRPr="00EE0B19" w:rsidRDefault="00EE0B19" w:rsidP="00EE0B19">
            <w:pPr>
              <w:spacing w:after="0"/>
              <w:jc w:val="center"/>
            </w:pPr>
            <w:r w:rsidRPr="00EE0B19">
              <w:t>%40</w:t>
            </w:r>
          </w:p>
        </w:tc>
      </w:tr>
      <w:tr w:rsidR="00EE0B19" w:rsidRPr="00EE0B19" w14:paraId="194A58F2" w14:textId="77777777" w:rsidTr="00EE0B19">
        <w:tc>
          <w:tcPr>
            <w:tcW w:w="0" w:type="auto"/>
            <w:shd w:val="clear" w:color="auto" w:fill="FFFFFF"/>
            <w:tcMar>
              <w:top w:w="120" w:type="dxa"/>
              <w:left w:w="120" w:type="dxa"/>
              <w:bottom w:w="120" w:type="dxa"/>
              <w:right w:w="120" w:type="dxa"/>
            </w:tcMar>
            <w:hideMark/>
          </w:tcPr>
          <w:p w14:paraId="34DCACC1" w14:textId="77777777" w:rsidR="00EE0B19" w:rsidRPr="00EE0B19" w:rsidRDefault="00EE0B19" w:rsidP="00EE0B19">
            <w:pPr>
              <w:spacing w:after="0"/>
            </w:pPr>
            <w:r w:rsidRPr="00EE0B19">
              <w:t>Öncelikli Yatırımlar Teşvik Sistemi</w:t>
            </w:r>
          </w:p>
        </w:tc>
        <w:tc>
          <w:tcPr>
            <w:tcW w:w="1552" w:type="dxa"/>
            <w:shd w:val="clear" w:color="auto" w:fill="FFFFFF"/>
            <w:tcMar>
              <w:top w:w="120" w:type="dxa"/>
              <w:left w:w="120" w:type="dxa"/>
              <w:bottom w:w="120" w:type="dxa"/>
              <w:right w:w="120" w:type="dxa"/>
            </w:tcMar>
            <w:hideMark/>
          </w:tcPr>
          <w:p w14:paraId="10DC2C60" w14:textId="77777777" w:rsidR="00EE0B19" w:rsidRPr="00EE0B19" w:rsidRDefault="00EE0B19" w:rsidP="00EE0B19">
            <w:pPr>
              <w:spacing w:after="0"/>
              <w:jc w:val="center"/>
            </w:pPr>
            <w:r w:rsidRPr="00EE0B19">
              <w:t>%30</w:t>
            </w:r>
          </w:p>
        </w:tc>
      </w:tr>
      <w:tr w:rsidR="00EE0B19" w:rsidRPr="00EE0B19" w14:paraId="03578C98" w14:textId="77777777" w:rsidTr="00EE0B19">
        <w:tc>
          <w:tcPr>
            <w:tcW w:w="0" w:type="auto"/>
            <w:shd w:val="clear" w:color="auto" w:fill="F5F5F5"/>
            <w:tcMar>
              <w:top w:w="120" w:type="dxa"/>
              <w:left w:w="120" w:type="dxa"/>
              <w:bottom w:w="120" w:type="dxa"/>
              <w:right w:w="120" w:type="dxa"/>
            </w:tcMar>
            <w:hideMark/>
          </w:tcPr>
          <w:p w14:paraId="5442EAF8" w14:textId="77777777" w:rsidR="00EE0B19" w:rsidRPr="00EE0B19" w:rsidRDefault="00EE0B19" w:rsidP="00EE0B19">
            <w:pPr>
              <w:spacing w:after="0"/>
            </w:pPr>
            <w:r w:rsidRPr="00EE0B19">
              <w:t>Hedef Yatırımlar Teşvik Sistemi</w:t>
            </w:r>
          </w:p>
        </w:tc>
        <w:tc>
          <w:tcPr>
            <w:tcW w:w="1552" w:type="dxa"/>
            <w:shd w:val="clear" w:color="auto" w:fill="F5F5F5"/>
            <w:tcMar>
              <w:top w:w="120" w:type="dxa"/>
              <w:left w:w="120" w:type="dxa"/>
              <w:bottom w:w="120" w:type="dxa"/>
              <w:right w:w="120" w:type="dxa"/>
            </w:tcMar>
            <w:hideMark/>
          </w:tcPr>
          <w:p w14:paraId="263D08A2" w14:textId="77777777" w:rsidR="00EE0B19" w:rsidRPr="00EE0B19" w:rsidRDefault="00EE0B19" w:rsidP="00EE0B19">
            <w:pPr>
              <w:spacing w:after="0"/>
              <w:jc w:val="center"/>
            </w:pPr>
            <w:r w:rsidRPr="00EE0B19">
              <w:t>%20</w:t>
            </w:r>
          </w:p>
        </w:tc>
      </w:tr>
    </w:tbl>
    <w:p w14:paraId="6B028A38" w14:textId="7B636844" w:rsidR="00EE0B19" w:rsidRDefault="00EE0B19" w:rsidP="00EE0B19">
      <w:r>
        <w:t xml:space="preserve">Bilindiği üzere; Yatırıma Katkı Tutarı, indirimli kurumlar vergisi uygulanmak suretiyle tahsilinden vazgeçilen vergi yoluyla yatırımların Devletçe karşılanacak tutarını ifade etmektedir ve </w:t>
      </w:r>
      <w:r w:rsidRPr="00EE0B19">
        <w:rPr>
          <w:b/>
          <w:bCs/>
          <w:color w:val="EE0000"/>
        </w:rPr>
        <w:t>Toplam Yatırıma Katkı Tutarı = Toplam yatırım harcaması x Yatırıma katkı oranı</w:t>
      </w:r>
      <w:r w:rsidRPr="00EE0B19">
        <w:rPr>
          <w:color w:val="EE0000"/>
        </w:rPr>
        <w:t xml:space="preserve"> </w:t>
      </w:r>
      <w:r>
        <w:t>şeklinde hesaplanmaktadır.</w:t>
      </w:r>
    </w:p>
    <w:p w14:paraId="09654A58" w14:textId="3562886E" w:rsidR="00EE0B19" w:rsidRDefault="00EE0B19" w:rsidP="00EE0B19">
      <w:r>
        <w:t xml:space="preserve">İndirimli kurumlar vergisi oranı ise </w:t>
      </w:r>
      <w:r w:rsidRPr="00EE0B19">
        <w:rPr>
          <w:b/>
          <w:bCs/>
          <w:color w:val="EE0000"/>
        </w:rPr>
        <w:t>[KV oranı - (KV oranı x Vergi indirim oranı)]</w:t>
      </w:r>
      <w:r w:rsidRPr="00EE0B19">
        <w:rPr>
          <w:color w:val="EE0000"/>
        </w:rPr>
        <w:t xml:space="preserve"> </w:t>
      </w:r>
      <w:r w:rsidR="00500855">
        <w:t>şeklinde</w:t>
      </w:r>
      <w:r>
        <w:t xml:space="preserve"> hesaplanmaktadır.</w:t>
      </w:r>
    </w:p>
    <w:p w14:paraId="713703A2" w14:textId="1A520870" w:rsidR="0007108B" w:rsidRDefault="0007108B" w:rsidP="0007108B">
      <w:r>
        <w:t>(2)</w:t>
      </w:r>
      <w:r w:rsidR="00EE0B19">
        <w:t xml:space="preserve"> </w:t>
      </w:r>
      <w:r>
        <w:t xml:space="preserve">Yatırımcının </w:t>
      </w:r>
      <w:r w:rsidRPr="00EE0B19">
        <w:rPr>
          <w:u w:val="single" w:color="EE0000"/>
        </w:rPr>
        <w:t>diğer faaliyetlerinden</w:t>
      </w:r>
      <w:r>
        <w:t xml:space="preserve"> elde edilen kazançlarına, bu maddeye göre hesaplanacak yatırıma katkı tutarının </w:t>
      </w:r>
      <w:r w:rsidRPr="00EE0B19">
        <w:rPr>
          <w:b/>
          <w:bCs/>
          <w:u w:val="single" w:color="EE0000"/>
        </w:rPr>
        <w:t>%50'sini geçmemek üzere</w:t>
      </w:r>
      <w:r>
        <w:t xml:space="preserve"> 5520 sayılı Kanunun 32/A maddesinde belirtilen usulde indirimli gelir veya kurumlar vergisi uygulanabil</w:t>
      </w:r>
      <w:r w:rsidR="00EE0B19">
        <w:t>ecektir.</w:t>
      </w:r>
      <w:r w:rsidR="00800C49">
        <w:t xml:space="preserve"> Bu düzenleme ile</w:t>
      </w:r>
      <w:r w:rsidR="00800C49" w:rsidRPr="00800C49">
        <w:t xml:space="preserve"> </w:t>
      </w:r>
      <w:r w:rsidR="00800C49" w:rsidRPr="00800C49">
        <w:rPr>
          <w:u w:val="single"/>
        </w:rPr>
        <w:t>yatırım döneminde</w:t>
      </w:r>
      <w:r w:rsidR="00800C49" w:rsidRPr="00800C49">
        <w:t xml:space="preserve"> diğer faaliyetlerden elde edilecek gelire uygulanabilecek yatırım katkı oranı %80’den, %50’ye düşürülm</w:t>
      </w:r>
      <w:r w:rsidR="00800C49">
        <w:t>ektedir</w:t>
      </w:r>
      <w:r w:rsidR="00800C49" w:rsidRPr="00800C49">
        <w:t xml:space="preserve">. Bu </w:t>
      </w:r>
      <w:r w:rsidR="00800C49">
        <w:t>durum</w:t>
      </w:r>
      <w:r w:rsidR="00800C49" w:rsidRPr="00800C49">
        <w:t xml:space="preserve"> indirimli kurumlar vergisinin </w:t>
      </w:r>
      <w:r w:rsidR="00800C49">
        <w:t xml:space="preserve">daha hızlı </w:t>
      </w:r>
      <w:r w:rsidR="00800C49" w:rsidRPr="00800C49">
        <w:t>kullanılabilmesi için yatırımın daha hızlı bitirilmesi</w:t>
      </w:r>
      <w:r w:rsidR="00800C49">
        <w:t>ni</w:t>
      </w:r>
      <w:r w:rsidR="00800C49" w:rsidRPr="00800C49">
        <w:t xml:space="preserve"> önem arz eder hale ge</w:t>
      </w:r>
      <w:r w:rsidR="00800C49">
        <w:t>tirmiştir.</w:t>
      </w:r>
    </w:p>
    <w:p w14:paraId="6B38D682" w14:textId="487300A5" w:rsidR="0007108B" w:rsidRDefault="0007108B" w:rsidP="00500855">
      <w:pPr>
        <w:rPr>
          <w:b/>
          <w:bCs/>
          <w:u w:val="single" w:color="EE0000"/>
        </w:rPr>
      </w:pPr>
      <w:r>
        <w:t>(3)</w:t>
      </w:r>
      <w:r w:rsidR="00500855">
        <w:t xml:space="preserve"> </w:t>
      </w:r>
      <w:r w:rsidRPr="00500855">
        <w:rPr>
          <w:u w:val="single" w:color="EE0000"/>
        </w:rPr>
        <w:t>Arazi, arsa, royalti, yedek parça ve amortismana tabi olmayan diğer harcamalar</w:t>
      </w:r>
      <w:r>
        <w:t xml:space="preserve"> ile 5520 sayılı Kanun gereği </w:t>
      </w:r>
      <w:r w:rsidRPr="001C4E56">
        <w:rPr>
          <w:u w:val="single" w:color="EE0000"/>
        </w:rPr>
        <w:t>finans ve sigortacılık konularında faaliyet gösteren kurumlar</w:t>
      </w:r>
      <w:r>
        <w:t xml:space="preserve">, </w:t>
      </w:r>
      <w:r w:rsidRPr="001C4E56">
        <w:rPr>
          <w:u w:val="single" w:color="EE0000"/>
        </w:rPr>
        <w:t>iş ortaklıkları</w:t>
      </w:r>
      <w:r>
        <w:t xml:space="preserve">, 16/7/1997 tarihli ve 4283 sayılı </w:t>
      </w:r>
      <w:r w:rsidRPr="001C4E56">
        <w:rPr>
          <w:u w:val="single" w:color="EE0000"/>
        </w:rPr>
        <w:t>Yap-İşlet Modeli ile Elektrik Enerjisi Üretim Tesislerinin Kurulması ve İşletilmesi ile Enerji Satışının Düzenlenmesi Hakkında Kanun</w:t>
      </w:r>
      <w:r>
        <w:t xml:space="preserve"> ve 8/6/1994 tarihli ve 3996 sayılı Bazı Yatırını ve Hizmetlerin </w:t>
      </w:r>
      <w:r w:rsidRPr="001C4E56">
        <w:rPr>
          <w:u w:val="single" w:color="EE0000"/>
        </w:rPr>
        <w:t>Yap- İşlet-Devret Modeli Çerçevesinde Yaptırılması Hakkında Kanun</w:t>
      </w:r>
      <w:r>
        <w:t xml:space="preserve"> kapsamında gerçekleştirilen yatırımlar ve r</w:t>
      </w:r>
      <w:r w:rsidRPr="001C4E56">
        <w:rPr>
          <w:u w:val="single" w:color="EE0000"/>
        </w:rPr>
        <w:t>ödovans sözleşmesine</w:t>
      </w:r>
      <w:r>
        <w:t xml:space="preserve"> bağlı olarak yapılan yatırımlar </w:t>
      </w:r>
      <w:r w:rsidR="001C4E56" w:rsidRPr="001C4E56">
        <w:rPr>
          <w:b/>
          <w:bCs/>
          <w:u w:val="single" w:color="EE0000"/>
        </w:rPr>
        <w:t>vergi indirimi desteğinden yararlanamayacaklardır.</w:t>
      </w:r>
    </w:p>
    <w:p w14:paraId="0A8E7D8E" w14:textId="5EA8BB27" w:rsidR="001C4E56" w:rsidRDefault="001C4E56" w:rsidP="00500855">
      <w:r w:rsidRPr="001C4E56">
        <w:t>(4) Karar’ın 2</w:t>
      </w:r>
      <w:r>
        <w:t>3/(5)’nci</w:t>
      </w:r>
      <w:r w:rsidRPr="001C4E56">
        <w:t xml:space="preserve"> maddesindeki düzenleme uyarınca; </w:t>
      </w:r>
      <w:r w:rsidRPr="002718CC">
        <w:rPr>
          <w:b/>
          <w:bCs/>
        </w:rPr>
        <w:t>Kullanılmış komple tesis veya kullanılmış makine ve teçhizat, vergi indiriminden faydalanam</w:t>
      </w:r>
      <w:r w:rsidR="002718CC">
        <w:rPr>
          <w:b/>
          <w:bCs/>
        </w:rPr>
        <w:t>ayacaktır.</w:t>
      </w:r>
    </w:p>
    <w:p w14:paraId="5C5744D4" w14:textId="77777777" w:rsidR="002013D1" w:rsidRDefault="001C4E56" w:rsidP="00500855">
      <w:pPr>
        <w:rPr>
          <w:b/>
          <w:bCs/>
        </w:rPr>
      </w:pPr>
      <w:r>
        <w:t xml:space="preserve">(5) </w:t>
      </w:r>
      <w:bookmarkStart w:id="0" w:name="_Hlk199689853"/>
      <w:r w:rsidRPr="001C4E56">
        <w:t>Karar’ın 23</w:t>
      </w:r>
      <w:r>
        <w:t>/(7)’</w:t>
      </w:r>
      <w:r w:rsidRPr="001C4E56">
        <w:t>nc</w:t>
      </w:r>
      <w:r>
        <w:t>i</w:t>
      </w:r>
      <w:r w:rsidRPr="001C4E56">
        <w:t xml:space="preserve"> maddesindeki düzenleme uyarınca</w:t>
      </w:r>
      <w:r>
        <w:t xml:space="preserve">; </w:t>
      </w:r>
      <w:bookmarkEnd w:id="0"/>
      <w:r w:rsidRPr="001C4E56">
        <w:rPr>
          <w:b/>
          <w:bCs/>
        </w:rPr>
        <w:t>Sabit yatırım tutarı</w:t>
      </w:r>
      <w:r w:rsidRPr="001C4E56">
        <w:t>; faiz veya kar payı desteği ve makine desteği ödemeleri düşülmeden hesaplanır</w:t>
      </w:r>
      <w:r w:rsidRPr="001C4E56">
        <w:rPr>
          <w:b/>
          <w:bCs/>
        </w:rPr>
        <w:t xml:space="preserve">. </w:t>
      </w:r>
      <w:r w:rsidRPr="001C4E56">
        <w:rPr>
          <w:b/>
          <w:bCs/>
          <w:u w:val="single" w:color="EE0000"/>
        </w:rPr>
        <w:t xml:space="preserve">Ancak, vergi indirimi desteğinin </w:t>
      </w:r>
      <w:r w:rsidRPr="001C4E56">
        <w:rPr>
          <w:b/>
          <w:bCs/>
          <w:u w:val="single" w:color="EE0000"/>
        </w:rPr>
        <w:lastRenderedPageBreak/>
        <w:t>uygulanmasına esas sabit yatırım tutarı, bu Karar kapsamında sağlanan faiz veya kar payı desteği ve makine desteği ödemeleri düşülerek hesaplanır</w:t>
      </w:r>
      <w:r w:rsidRPr="001C4E56">
        <w:rPr>
          <w:b/>
          <w:bCs/>
        </w:rPr>
        <w:t>.</w:t>
      </w:r>
      <w:r w:rsidR="002013D1">
        <w:rPr>
          <w:b/>
          <w:bCs/>
        </w:rPr>
        <w:t xml:space="preserve"> </w:t>
      </w:r>
    </w:p>
    <w:p w14:paraId="747067FD" w14:textId="1A43CB4F" w:rsidR="001C4E56" w:rsidRDefault="002013D1" w:rsidP="00500855">
      <w:r w:rsidRPr="002013D1">
        <w:t>Bu düzenleme ile bir yandan yararlanılabilecek Vergi İndirimi tutarı aşağıya çekilir iken öte yandan önceki kararlar (2021/3305) kapsamındaki uygulamada bu konuda var olan</w:t>
      </w:r>
      <w:r>
        <w:t xml:space="preserve"> (</w:t>
      </w:r>
      <w:r w:rsidRPr="002013D1">
        <w:t>sağlanan faiz veya kar payı desteği</w:t>
      </w:r>
      <w:r>
        <w:t xml:space="preserve">nin vergi indirimi matrahından düşülüp düşülmeyeceği) müphemliğine açıklık getirilmiştir. Önceki kararlarda bu yönde bir düzenleme bulunmadığından </w:t>
      </w:r>
      <w:r w:rsidRPr="002013D1">
        <w:t>sağlanan faiz veya kar payı desteğinin vergi indirimi matrahından düşü</w:t>
      </w:r>
      <w:r>
        <w:t>lmeyeceği de netlik kazanmış olmaktadır.</w:t>
      </w:r>
    </w:p>
    <w:p w14:paraId="3391A277" w14:textId="10A1C090" w:rsidR="00CB4954" w:rsidRPr="002013D1" w:rsidRDefault="00CB4954" w:rsidP="00500855">
      <w:r w:rsidRPr="00CB4954">
        <w:t xml:space="preserve">Kararın 15’inci maddesi uyarınca faiz veya kâr payı desteği tutarının sabit yatırım tutarının %10’u ile %20’si arasında olabileceği düşünüldüğünde, en yüksek düzeyde bu desteği alan yatırımcılarda vergi indirimine konu tutar </w:t>
      </w:r>
      <w:r>
        <w:t xml:space="preserve">sabit yatırım </w:t>
      </w:r>
      <w:r w:rsidRPr="00CB4954">
        <w:t>toplam</w:t>
      </w:r>
      <w:r>
        <w:t>ının</w:t>
      </w:r>
      <w:r w:rsidRPr="00CB4954">
        <w:t xml:space="preserve"> %80’ine kadar düşebilecektir. Kararın 1</w:t>
      </w:r>
      <w:r>
        <w:t>6</w:t>
      </w:r>
      <w:r w:rsidRPr="00CB4954">
        <w:t>’</w:t>
      </w:r>
      <w:r>
        <w:t>ı</w:t>
      </w:r>
      <w:r w:rsidRPr="00CB4954">
        <w:t>nc</w:t>
      </w:r>
      <w:r>
        <w:t>ı</w:t>
      </w:r>
      <w:r w:rsidRPr="00CB4954">
        <w:t xml:space="preserve"> maddesi uyarınca makine desteği tutarı sabit yatırım tutarının %15’i olacağından, üzerinden yatırım katkı tutarı hesaplanacak sabit sermaye yatırım tutarı olması gerekenin %85’i olacaktır. 2012/3305 sayılı Karar’da uygulaması olmayan bu düzenleme ile indirilebilecek azami vergi tutarı düşürülmüş olmaktadır.</w:t>
      </w:r>
    </w:p>
    <w:p w14:paraId="105B6F04" w14:textId="48BD0A18" w:rsidR="001C4E56" w:rsidRDefault="001C4E56" w:rsidP="00500855">
      <w:r w:rsidRPr="001C4E56">
        <w:t xml:space="preserve">(6) Karar’ın </w:t>
      </w:r>
      <w:r w:rsidR="00D8156D">
        <w:t>5</w:t>
      </w:r>
      <w:r w:rsidRPr="001C4E56">
        <w:t>/(</w:t>
      </w:r>
      <w:r>
        <w:t>1</w:t>
      </w:r>
      <w:r w:rsidR="00D8156D">
        <w:t>4</w:t>
      </w:r>
      <w:r w:rsidRPr="001C4E56">
        <w:t>)’</w:t>
      </w:r>
      <w:proofErr w:type="spellStart"/>
      <w:r w:rsidRPr="001C4E56">
        <w:t>nc</w:t>
      </w:r>
      <w:r>
        <w:t>ü</w:t>
      </w:r>
      <w:proofErr w:type="spellEnd"/>
      <w:r w:rsidRPr="001C4E56">
        <w:t xml:space="preserve"> maddesindeki düzenleme uyarınca;</w:t>
      </w:r>
      <w:r>
        <w:t xml:space="preserve"> </w:t>
      </w:r>
      <w:r w:rsidRPr="005B1F55">
        <w:rPr>
          <w:b/>
          <w:bCs/>
          <w:u w:val="single" w:color="EE0000"/>
        </w:rPr>
        <w:t>Teşvik belgesi kapsamında sağlanan KDV istisnası, gümrük vergisi muafiyeti, vergi indirimi, faiz veya kar payı desteği ve makine desteğinin faydalanma yılı esas alınarak yeniden değerleme oranı ile hesaplanan toplam değeri, yeniden değerleme oranı dikkate alınarak hesaplanmış gerçekleşen sabit yatırım tutarını geçemez</w:t>
      </w:r>
      <w:r w:rsidRPr="001C4E56">
        <w:t xml:space="preserve">. (Yürürlük </w:t>
      </w:r>
      <w:r w:rsidR="005B1F55">
        <w:t xml:space="preserve">Tarihi: </w:t>
      </w:r>
      <w:r w:rsidRPr="001C4E56">
        <w:t>1.1.2026)</w:t>
      </w:r>
    </w:p>
    <w:p w14:paraId="2874086E" w14:textId="331CFB43" w:rsidR="00D8156D" w:rsidRDefault="00D8156D" w:rsidP="00500855">
      <w:r w:rsidRPr="00D8156D">
        <w:rPr>
          <w:b/>
          <w:bCs/>
          <w:u w:val="single"/>
        </w:rPr>
        <w:t>Böylelikle</w:t>
      </w:r>
      <w:r w:rsidRPr="00D8156D">
        <w:rPr>
          <w:b/>
          <w:bCs/>
          <w:u w:val="single"/>
        </w:rPr>
        <w:t xml:space="preserve"> indirimli kurumlar vergisi uygulamasına takip edilmesi gereken ilave bir sınır daha getirilmiş</w:t>
      </w:r>
      <w:r w:rsidR="002718CC">
        <w:rPr>
          <w:b/>
          <w:bCs/>
          <w:u w:val="single"/>
        </w:rPr>
        <w:t xml:space="preserve"> olmaktadır</w:t>
      </w:r>
      <w:r w:rsidRPr="00D8156D">
        <w:t xml:space="preserve">. </w:t>
      </w:r>
      <w:r>
        <w:t>Bu takibin yapıl</w:t>
      </w:r>
      <w:r w:rsidR="007C1A4B">
        <w:t>abilmesi</w:t>
      </w:r>
      <w:r>
        <w:t xml:space="preserve"> ve özellikle</w:t>
      </w:r>
      <w:r w:rsidRPr="00D8156D">
        <w:t xml:space="preserve"> </w:t>
      </w:r>
      <w:r>
        <w:t xml:space="preserve">yatırım dönemindeki </w:t>
      </w:r>
      <w:r w:rsidRPr="00D8156D">
        <w:t>%50 olan yatırım katkı tutarının tamamının kullanılmasında</w:t>
      </w:r>
      <w:r w:rsidR="007C1A4B">
        <w:t xml:space="preserve"> hata yapılmaması için</w:t>
      </w:r>
      <w:r w:rsidRPr="00D8156D">
        <w:t xml:space="preserve"> E-TUYS üzerinde yeni bir takip sisteminin kurulması zorunlu </w:t>
      </w:r>
      <w:r w:rsidR="007C1A4B">
        <w:t>hale gelmiştir. Ancak neresinden bakılır ise bakılsın zaten uygulaması son derece zor ve hataya açık olan vergi indirim uygulaması bu düzenleme ile bir kat daha zorlaşmış bulunmaktadır.</w:t>
      </w:r>
    </w:p>
    <w:p w14:paraId="445ACDEA" w14:textId="527E9113" w:rsidR="002013D1" w:rsidRDefault="002013D1" w:rsidP="002013D1">
      <w:r>
        <w:t xml:space="preserve">7) Karar’ın </w:t>
      </w:r>
      <w:r>
        <w:t>20</w:t>
      </w:r>
      <w:r>
        <w:t xml:space="preserve"> /(</w:t>
      </w:r>
      <w:r>
        <w:t>4</w:t>
      </w:r>
      <w:r>
        <w:t>)</w:t>
      </w:r>
      <w:r w:rsidRPr="002013D1">
        <w:t xml:space="preserve"> </w:t>
      </w:r>
      <w:r w:rsidRPr="001C4E56">
        <w:t>maddesindeki düzenleme uyarınca</w:t>
      </w:r>
      <w:r>
        <w:t xml:space="preserve">; </w:t>
      </w:r>
      <w:r w:rsidRPr="002013D1">
        <w:rPr>
          <w:u w:val="single"/>
        </w:rPr>
        <w:t>Firma tescil tarihi</w:t>
      </w:r>
      <w:r>
        <w:t xml:space="preserve"> teşvik belgesi düzenlenmesi için yapılan </w:t>
      </w:r>
      <w:r w:rsidRPr="002013D1">
        <w:rPr>
          <w:u w:val="single"/>
        </w:rPr>
        <w:t>müracaat tarihinden en fazla bir yıl öncesinde olan yatırımcılar</w:t>
      </w:r>
      <w:r>
        <w:t xml:space="preserve">, talep etmeleri halinde vergi indirimi desteğinden </w:t>
      </w:r>
      <w:r w:rsidRPr="002013D1">
        <w:rPr>
          <w:u w:val="single"/>
        </w:rPr>
        <w:t>faydalanmamak</w:t>
      </w:r>
      <w:r>
        <w:t xml:space="preserve"> kaydıyla;</w:t>
      </w:r>
    </w:p>
    <w:p w14:paraId="6A9A5DED" w14:textId="59522ADB" w:rsidR="002013D1" w:rsidRDefault="002013D1" w:rsidP="002013D1">
      <w:r>
        <w:t xml:space="preserve">7.1. </w:t>
      </w:r>
      <w:r>
        <w:t>Türkiye Yüzyılı Kalkınma Hamlesi kapsamında desteklenmesine karar verilen komple yeni yatırımlarda, faiz veya kâr payı desteği ya da makine desteği için belirlenmiş olan desteğin sabit yatırıma oranına 5 puan ve azami tutara 60 Milyon TL eklenmek suretiyle,</w:t>
      </w:r>
    </w:p>
    <w:p w14:paraId="3F1237B9" w14:textId="45CD00F9" w:rsidR="002013D1" w:rsidRDefault="002013D1" w:rsidP="002013D1">
      <w:r>
        <w:t xml:space="preserve">7.2. </w:t>
      </w:r>
      <w:r>
        <w:t>Öncelikli Yatırımlar Teşvik Sistemi kapsamında desteklenmesine karar verilen komple yeni yatırımlarda, faiz veya kâr payı desteği için belirlenmiş olan desteğin sabit yatırıma oranına 2 puan ve azami tutara 6 Milyon TL eklenmek suretiyle,</w:t>
      </w:r>
    </w:p>
    <w:p w14:paraId="38F079E4" w14:textId="3D7B3483" w:rsidR="002013D1" w:rsidRDefault="002013D1" w:rsidP="002013D1">
      <w:r>
        <w:t xml:space="preserve">7.3. </w:t>
      </w:r>
      <w:r>
        <w:t>Hedef Yatırımlar Teşvik Sistemi kapsamında desteklenmesine karar verilen komple yeni yatırımlarda, faiz veya kâr payı desteği için belirlenmiş olan desteğin sabit yatırıma oranına 2 puan ve azami tutara 2 Milyon 400 Bin TL eklenmek suretiyle,</w:t>
      </w:r>
    </w:p>
    <w:p w14:paraId="7C80F6D1" w14:textId="13974ACE" w:rsidR="002013D1" w:rsidRDefault="002013D1" w:rsidP="002013D1">
      <w:r>
        <w:t xml:space="preserve">Daha fazla miktarda </w:t>
      </w:r>
      <w:r w:rsidRPr="002013D1">
        <w:t>faiz</w:t>
      </w:r>
      <w:r>
        <w:t>/</w:t>
      </w:r>
      <w:r w:rsidRPr="002013D1">
        <w:t>kâr payı</w:t>
      </w:r>
      <w:r>
        <w:t>/</w:t>
      </w:r>
      <w:r w:rsidRPr="002013D1">
        <w:t>makine desteği</w:t>
      </w:r>
      <w:r>
        <w:t xml:space="preserve">nden yararlanabileceklerdir.  </w:t>
      </w:r>
    </w:p>
    <w:p w14:paraId="742211A0" w14:textId="26F2EC4C" w:rsidR="002013D1" w:rsidRDefault="002013D1" w:rsidP="002013D1">
      <w:r>
        <w:lastRenderedPageBreak/>
        <w:t>Böylelikle</w:t>
      </w:r>
      <w:r>
        <w:t xml:space="preserve"> son 1 yıl içerisinde kurulan şirketler için yatırımın ilk döneminde kar oluşmayacağı varsayımından hareketle, sağlanacak vergi avantajından vazgeçilmesi karşılığında faiz veya kâr payı desteği için belirlenmiş olan destek tutarlarından arttırılabilmesi şeklinde bir hak getirilmiştir.</w:t>
      </w:r>
    </w:p>
    <w:p w14:paraId="2D0736FD" w14:textId="3289E118" w:rsidR="00D8156D" w:rsidRDefault="00D8156D" w:rsidP="00D8156D">
      <w:r>
        <w:t xml:space="preserve">8) </w:t>
      </w:r>
      <w:r>
        <w:t>Kararın 5</w:t>
      </w:r>
      <w:r>
        <w:t>/(9)</w:t>
      </w:r>
      <w:r>
        <w:t xml:space="preserve"> maddesi</w:t>
      </w:r>
      <w:r>
        <w:t xml:space="preserve"> </w:t>
      </w:r>
      <w:r>
        <w:t>uyarınca</w:t>
      </w:r>
      <w:r>
        <w:t>;</w:t>
      </w:r>
      <w:r>
        <w:t xml:space="preserve"> indirimli kurumlar vergisi uygulamasından faydalanmak isteyen KOBİ sınıfında </w:t>
      </w:r>
      <w:r w:rsidRPr="00D8156D">
        <w:rPr>
          <w:u w:val="single"/>
        </w:rPr>
        <w:t>yer almayan</w:t>
      </w:r>
      <w:r>
        <w:t xml:space="preserve"> yatırımcılar ile Yerel Kalkınma Hamlesi Programı kapsamında desteklenen yatırımcılar bir ekosistem geliştirme planını gerçekleştirmekle ve bu kapsamda sabit yatırım tutarının %2’si oranında harcama yapmakla yükümlü hale getirilmiştir.</w:t>
      </w:r>
    </w:p>
    <w:p w14:paraId="73BF4A1B" w14:textId="0959A689" w:rsidR="007C1A4B" w:rsidRDefault="007C1A4B" w:rsidP="007C1A4B">
      <w:r>
        <w:t>9) Bu</w:t>
      </w:r>
      <w:r>
        <w:t xml:space="preserve"> Karar’ın 9</w:t>
      </w:r>
      <w:r>
        <w:t>/(3)</w:t>
      </w:r>
      <w:r>
        <w:t xml:space="preserve"> maddesi</w:t>
      </w:r>
      <w:r>
        <w:t xml:space="preserve"> </w:t>
      </w:r>
      <w:r>
        <w:t>uyarınca</w:t>
      </w:r>
      <w:r>
        <w:t xml:space="preserve">; aşağıdaki </w:t>
      </w:r>
      <w:r>
        <w:t>yatırımlar hariç,</w:t>
      </w:r>
      <w:r>
        <w:t xml:space="preserve"> </w:t>
      </w:r>
      <w:r>
        <w:t>elektrik üretimi yatırımlar vergi indirimi</w:t>
      </w:r>
      <w:r>
        <w:t>nden</w:t>
      </w:r>
      <w:r>
        <w:t xml:space="preserve"> </w:t>
      </w:r>
      <w:r>
        <w:t>yararlanamayacaklardır.</w:t>
      </w:r>
    </w:p>
    <w:p w14:paraId="0C8AEF70" w14:textId="0A8C6EE2" w:rsidR="007C1A4B" w:rsidRDefault="007C1A4B" w:rsidP="007C1A4B">
      <w:r>
        <w:t>9.1.</w:t>
      </w:r>
      <w:r>
        <w:t xml:space="preserve"> İmalat sanayi işletmelerinin </w:t>
      </w:r>
      <w:r w:rsidRPr="007C1A4B">
        <w:rPr>
          <w:u w:val="single"/>
        </w:rPr>
        <w:t>öz tüketimine</w:t>
      </w:r>
      <w:r>
        <w:t xml:space="preserve"> yönelik olarak gerçekleştirilecek enerji üretimi faaliyeti kapsamında bağlantı anlaşmasındaki sözleşme gücü ile sınırlı olmak kaydıyla, </w:t>
      </w:r>
      <w:r w:rsidRPr="007C1A4B">
        <w:rPr>
          <w:u w:val="single"/>
        </w:rPr>
        <w:t>güneş enerjisine</w:t>
      </w:r>
      <w:r>
        <w:t xml:space="preserve"> dayalı elektrik üretim tesisi yatırımları ile </w:t>
      </w:r>
      <w:r w:rsidRPr="007C1A4B">
        <w:rPr>
          <w:u w:val="single"/>
        </w:rPr>
        <w:t>rüzgâr enerjisine</w:t>
      </w:r>
      <w:r>
        <w:t xml:space="preserve"> dayalı elektrik üretim tesisi yatırımları.</w:t>
      </w:r>
    </w:p>
    <w:p w14:paraId="49105874" w14:textId="6297FB08" w:rsidR="007C1A4B" w:rsidRDefault="007C1A4B" w:rsidP="007C1A4B">
      <w:r>
        <w:t xml:space="preserve">9.2. </w:t>
      </w:r>
      <w:r>
        <w:t xml:space="preserve">Enerji ve Tabii Kaynaklar Bakanlığı tarafından düzenlenen geçerli bir </w:t>
      </w:r>
      <w:r w:rsidRPr="007C1A4B">
        <w:rPr>
          <w:u w:val="single"/>
        </w:rPr>
        <w:t>maden işletme ruhsatı</w:t>
      </w:r>
      <w:r>
        <w:t xml:space="preserve"> ve izni kapsamında 3213 sayılı Maden Kanununun 2</w:t>
      </w:r>
      <w:r>
        <w:t>’</w:t>
      </w:r>
      <w:r>
        <w:t>nci maddesinin 4-b grubunda yer alan madenlerin girdi olarak kullanıldığı elektrik üretimi yatırımları.</w:t>
      </w:r>
    </w:p>
    <w:p w14:paraId="131E3FE5" w14:textId="46D12666" w:rsidR="007C1A4B" w:rsidRDefault="007C1A4B" w:rsidP="007C1A4B">
      <w:r>
        <w:t xml:space="preserve">9.3. </w:t>
      </w:r>
      <w:r>
        <w:t>Nükleer enerji santrali yatırımları</w:t>
      </w:r>
      <w:r>
        <w:t>,</w:t>
      </w:r>
    </w:p>
    <w:p w14:paraId="0A86014C" w14:textId="25819D82" w:rsidR="007C1A4B" w:rsidRDefault="007C1A4B" w:rsidP="007C1A4B">
      <w:r>
        <w:t>9.4.</w:t>
      </w:r>
      <w:r>
        <w:t xml:space="preserve"> 6’ncı bölgede yapılan yatırımlar, 6/2/2023 tarihinde meydana gelen depremlerden etkilenen ilçeler ile Cazibe Merkezleri Programı kapsamında yapılan yatırımlar hariç,</w:t>
      </w:r>
    </w:p>
    <w:p w14:paraId="60F3FC9C" w14:textId="6721C047" w:rsidR="0007108B" w:rsidRDefault="007C1A4B" w:rsidP="0007108B">
      <w:r>
        <w:rPr>
          <w:b/>
          <w:bCs/>
        </w:rPr>
        <w:t>Yukarıdaki</w:t>
      </w:r>
      <w:r w:rsidR="009054FE" w:rsidRPr="007C1A4B">
        <w:rPr>
          <w:b/>
          <w:bCs/>
        </w:rPr>
        <w:t xml:space="preserve"> düzenleme</w:t>
      </w:r>
      <w:r>
        <w:rPr>
          <w:b/>
          <w:bCs/>
        </w:rPr>
        <w:t>lerin</w:t>
      </w:r>
      <w:r w:rsidR="009054FE" w:rsidRPr="007C1A4B">
        <w:rPr>
          <w:b/>
          <w:bCs/>
        </w:rPr>
        <w:t xml:space="preserve"> Vergi İndirimi hesaplamalarını</w:t>
      </w:r>
      <w:r>
        <w:rPr>
          <w:b/>
          <w:bCs/>
        </w:rPr>
        <w:t>/uygulamalarını</w:t>
      </w:r>
      <w:r w:rsidR="009054FE" w:rsidRPr="007C1A4B">
        <w:rPr>
          <w:b/>
          <w:bCs/>
        </w:rPr>
        <w:t xml:space="preserve"> iyice içinden çıkılmaz bir şekle dönüştüreceği öngörülmektedir</w:t>
      </w:r>
      <w:r w:rsidR="009054FE">
        <w:t>.</w:t>
      </w:r>
      <w:r w:rsidR="00176ECE">
        <w:t xml:space="preserve"> </w:t>
      </w:r>
      <w:r w:rsidR="00176ECE" w:rsidRPr="00176ECE">
        <w:rPr>
          <w:b/>
          <w:bCs/>
        </w:rPr>
        <w:t>Bir yatırım desteği ve vergi uygulaması bu kadar karmaşık ve içinden çıkılamaz hale getirilebilirdi, bu başarılmış görünmektedir.</w:t>
      </w:r>
    </w:p>
    <w:p w14:paraId="0B2EE3A9" w14:textId="6987D1F6" w:rsidR="0007108B" w:rsidRPr="0007108B" w:rsidRDefault="000F3BED" w:rsidP="0007108B">
      <w:pPr>
        <w:rPr>
          <w:rFonts w:asciiTheme="majorHAnsi" w:eastAsia="Dotum" w:hAnsiTheme="majorHAnsi" w:cstheme="minorHAnsi"/>
          <w:b/>
          <w:bCs/>
          <w:color w:val="0066CC"/>
        </w:rPr>
      </w:pPr>
      <w:r>
        <w:rPr>
          <w:rFonts w:asciiTheme="majorHAnsi" w:eastAsia="Dotum" w:hAnsiTheme="majorHAnsi" w:cstheme="minorHAnsi"/>
          <w:b/>
          <w:bCs/>
          <w:color w:val="0066CC"/>
        </w:rPr>
        <w:t xml:space="preserve">5) </w:t>
      </w:r>
      <w:r w:rsidR="0007108B" w:rsidRPr="0007108B">
        <w:rPr>
          <w:rFonts w:asciiTheme="majorHAnsi" w:eastAsia="Dotum" w:hAnsiTheme="majorHAnsi" w:cstheme="minorHAnsi"/>
          <w:b/>
          <w:bCs/>
          <w:color w:val="0066CC"/>
        </w:rPr>
        <w:t xml:space="preserve">KDV </w:t>
      </w:r>
      <w:r w:rsidRPr="0007108B">
        <w:rPr>
          <w:rFonts w:asciiTheme="majorHAnsi" w:eastAsia="Dotum" w:hAnsiTheme="majorHAnsi" w:cstheme="minorHAnsi"/>
          <w:b/>
          <w:bCs/>
          <w:color w:val="0066CC"/>
        </w:rPr>
        <w:t>İstisnası</w:t>
      </w:r>
    </w:p>
    <w:p w14:paraId="5B0CD38B" w14:textId="39D666C1" w:rsidR="0007108B" w:rsidRPr="000F3BED" w:rsidRDefault="0007108B" w:rsidP="000F3BED">
      <w:pPr>
        <w:spacing w:before="120" w:after="120"/>
      </w:pPr>
      <w:r w:rsidRPr="000F3BED">
        <w:t xml:space="preserve">3065 sayılı Katma Değer Vergisi Kanunu gereğince, teşvik belgesini haiz yatırımcılara teşvik belgesi kapsamında yapılacak </w:t>
      </w:r>
      <w:r w:rsidRPr="000F3BED">
        <w:rPr>
          <w:u w:val="single" w:color="EE0000"/>
        </w:rPr>
        <w:t>makine ve teçhizat</w:t>
      </w:r>
      <w:r w:rsidRPr="000F3BED">
        <w:t xml:space="preserve"> ithal ve yerli teslimleri ile belge kapsamındaki </w:t>
      </w:r>
      <w:r w:rsidRPr="000F3BED">
        <w:rPr>
          <w:u w:val="single" w:color="EE0000"/>
        </w:rPr>
        <w:t>yazılım</w:t>
      </w:r>
      <w:r w:rsidRPr="000F3BED">
        <w:t xml:space="preserve"> ve </w:t>
      </w:r>
      <w:r w:rsidRPr="000F3BED">
        <w:rPr>
          <w:u w:val="single" w:color="EE0000"/>
        </w:rPr>
        <w:t>gayri maddi hak</w:t>
      </w:r>
      <w:r w:rsidRPr="000F3BED">
        <w:t xml:space="preserve"> satış ve kiralamaları KDV'den istisna edilebilir. Aynı hüküm, teşvik belgesi kapsamı yatırımın devir işlemleri ile makine ve teçhizat listelerinde set, ünite, takım ve benzeri olarak belirtilen malların kısmi teslimlerinde de uygulanır.</w:t>
      </w:r>
    </w:p>
    <w:p w14:paraId="1102DA67" w14:textId="50112B02" w:rsidR="000F3BED" w:rsidRPr="000F3BED" w:rsidRDefault="000F3BED" w:rsidP="000F3BED">
      <w:pPr>
        <w:rPr>
          <w:rFonts w:asciiTheme="majorHAnsi" w:eastAsia="Dotum" w:hAnsiTheme="majorHAnsi" w:cstheme="minorHAnsi"/>
          <w:b/>
          <w:bCs/>
          <w:color w:val="0066CC"/>
        </w:rPr>
      </w:pPr>
      <w:r>
        <w:rPr>
          <w:rFonts w:asciiTheme="majorHAnsi" w:eastAsia="Dotum" w:hAnsiTheme="majorHAnsi" w:cstheme="minorHAnsi"/>
          <w:b/>
          <w:bCs/>
          <w:color w:val="0066CC"/>
        </w:rPr>
        <w:t xml:space="preserve">7) </w:t>
      </w:r>
      <w:r w:rsidRPr="000F3BED">
        <w:rPr>
          <w:rFonts w:asciiTheme="majorHAnsi" w:eastAsia="Dotum" w:hAnsiTheme="majorHAnsi" w:cstheme="minorHAnsi"/>
          <w:b/>
          <w:bCs/>
          <w:color w:val="0066CC"/>
        </w:rPr>
        <w:t>Gümrük Vergisi Muafiyeti</w:t>
      </w:r>
    </w:p>
    <w:p w14:paraId="3581696D" w14:textId="1BCFFF13" w:rsidR="000F3BED" w:rsidRPr="000F3BED" w:rsidRDefault="000F3BED" w:rsidP="000F3BED">
      <w:r w:rsidRPr="000F3BED">
        <w:t>Teşvik belgesi kapsamındaki yatırım malı makine ve teçhizat için gümrük vergisi muafiyeti uygulanır.</w:t>
      </w:r>
    </w:p>
    <w:p w14:paraId="40B6436E" w14:textId="5DA0F9AB" w:rsidR="000F3BED" w:rsidRPr="000F3BED" w:rsidRDefault="000F3BED" w:rsidP="000F3BED">
      <w:r w:rsidRPr="000F3BED">
        <w:t>(</w:t>
      </w:r>
      <w:r>
        <w:t>1</w:t>
      </w:r>
      <w:r w:rsidRPr="000F3BED">
        <w:t>)</w:t>
      </w:r>
      <w:r>
        <w:t xml:space="preserve"> Kararın 4 Nolu ekinde</w:t>
      </w:r>
      <w:r w:rsidRPr="000F3BED">
        <w:t xml:space="preserve"> yer alan makine ve teçhizat gümrük vergisi muafiyeti sağlanmaksızın ithal edilerek sabit yatırım tutarına dahil edilebilir.</w:t>
      </w:r>
    </w:p>
    <w:p w14:paraId="130459C0" w14:textId="38C24B01" w:rsidR="0007108B" w:rsidRPr="000F3BED" w:rsidRDefault="000F3BED" w:rsidP="000F3BED">
      <w:r w:rsidRPr="000F3BED">
        <w:t>(</w:t>
      </w:r>
      <w:r>
        <w:t>2</w:t>
      </w:r>
      <w:r w:rsidRPr="000F3BED">
        <w:t>)</w:t>
      </w:r>
      <w:r>
        <w:t xml:space="preserve"> </w:t>
      </w:r>
      <w:r w:rsidRPr="000F3BED">
        <w:rPr>
          <w:u w:val="single" w:color="EE0000"/>
        </w:rPr>
        <w:t>Finansal kiralama</w:t>
      </w:r>
      <w:r w:rsidRPr="000F3BED">
        <w:t xml:space="preserve"> yöntemiyle gerçekleştirilecek yatırımlar için </w:t>
      </w:r>
      <w:r w:rsidRPr="000F3BED">
        <w:rPr>
          <w:u w:val="single" w:color="EE0000"/>
        </w:rPr>
        <w:t>finansal kiralama şirketi adına ayrı bir teşvik belgesi düzenlenmeksizin</w:t>
      </w:r>
      <w:r w:rsidRPr="000F3BED">
        <w:t xml:space="preserve"> yatırımcının teşvik belgesi dikkate alınarak ithalat işlemleri yapılır.</w:t>
      </w:r>
    </w:p>
    <w:p w14:paraId="66AC01DE" w14:textId="30526062" w:rsidR="000F3BED" w:rsidRPr="000F3BED" w:rsidRDefault="00192291" w:rsidP="000F3BED">
      <w:pPr>
        <w:rPr>
          <w:rFonts w:asciiTheme="majorHAnsi" w:eastAsia="Dotum" w:hAnsiTheme="majorHAnsi" w:cstheme="minorHAnsi"/>
          <w:b/>
          <w:bCs/>
          <w:color w:val="0066CC"/>
        </w:rPr>
      </w:pPr>
      <w:r>
        <w:rPr>
          <w:rFonts w:asciiTheme="majorHAnsi" w:eastAsia="Dotum" w:hAnsiTheme="majorHAnsi" w:cstheme="minorHAnsi"/>
          <w:b/>
          <w:bCs/>
          <w:color w:val="0066CC"/>
        </w:rPr>
        <w:t>8</w:t>
      </w:r>
      <w:r w:rsidR="000F3BED">
        <w:rPr>
          <w:rFonts w:asciiTheme="majorHAnsi" w:eastAsia="Dotum" w:hAnsiTheme="majorHAnsi" w:cstheme="minorHAnsi"/>
          <w:b/>
          <w:bCs/>
          <w:color w:val="0066CC"/>
        </w:rPr>
        <w:t xml:space="preserve">) </w:t>
      </w:r>
      <w:r w:rsidR="000F3BED" w:rsidRPr="000F3BED">
        <w:rPr>
          <w:rFonts w:asciiTheme="majorHAnsi" w:eastAsia="Dotum" w:hAnsiTheme="majorHAnsi" w:cstheme="minorHAnsi"/>
          <w:b/>
          <w:bCs/>
          <w:color w:val="0066CC"/>
        </w:rPr>
        <w:t>Makine Desteği</w:t>
      </w:r>
    </w:p>
    <w:p w14:paraId="370C3991" w14:textId="6DC71D26" w:rsidR="000F3BED" w:rsidRDefault="000F3BED" w:rsidP="000F3BED">
      <w:r w:rsidRPr="000F3BED">
        <w:t>Makine Desteği</w:t>
      </w:r>
      <w:r>
        <w:t>, daha önceki teşvik sisteminde olmayan yeni bir destek türüdür.</w:t>
      </w:r>
    </w:p>
    <w:p w14:paraId="6FD08753" w14:textId="232829E7" w:rsidR="000F3BED" w:rsidRPr="000F3BED" w:rsidRDefault="000F3BED" w:rsidP="000F3BED">
      <w:r w:rsidRPr="000F3BED">
        <w:lastRenderedPageBreak/>
        <w:t>(1) Talep edilmesi halinde, Türkiye Yüzyılı Kalkınma Hamlesi kapsamında desteklenen yatırımlar için düzenlenen teşvik belgesinin yatırım süresi içinde temin edilen ve diğer masraflar hariç sadece makine ve teçhizatın birim fiyatı 2 milyon Türk Lirası ve üzerinde olan makine ve teçhizat bedelinin %25'i yatırımcıya bütçe kaynaklarından öden</w:t>
      </w:r>
      <w:r>
        <w:t>ebilecektir.</w:t>
      </w:r>
    </w:p>
    <w:p w14:paraId="2DE467A6" w14:textId="59CC0A9A" w:rsidR="000F3BED" w:rsidRPr="000F3BED" w:rsidRDefault="000F3BED" w:rsidP="000F3BED">
      <w:r w:rsidRPr="000F3BED">
        <w:t>(2)</w:t>
      </w:r>
      <w:r>
        <w:t xml:space="preserve"> </w:t>
      </w:r>
      <w:r w:rsidRPr="000F3BED">
        <w:t>Makine desteği tutan,</w:t>
      </w:r>
    </w:p>
    <w:p w14:paraId="12D9CD15" w14:textId="7619EDFB" w:rsidR="000F3BED" w:rsidRPr="000F3BED" w:rsidRDefault="000F3BED" w:rsidP="000F3BED">
      <w:r>
        <w:t xml:space="preserve">2.1. </w:t>
      </w:r>
      <w:r w:rsidRPr="000F3BED">
        <w:t>Teknoloji Hamlesi Programı ve Yerel Kalkınma Hamlesi Programı kapsamında desteklenmesine karar verilen yatırımlarda sabit yatırım tutarının %15'ini aşmamak kaydıyla 240 milyon TL'yi,</w:t>
      </w:r>
    </w:p>
    <w:p w14:paraId="489D570D" w14:textId="1F00D812" w:rsidR="000F3BED" w:rsidRPr="000F3BED" w:rsidRDefault="000F3BED" w:rsidP="000F3BED">
      <w:r>
        <w:t xml:space="preserve">2.2. </w:t>
      </w:r>
      <w:r w:rsidRPr="000F3BED">
        <w:t>Stratejik Hamle Programı kapsamında desteklenmesine karar verilen yatırımlarda sabit yatırım tutarının %15'ini aşmamak kaydıyla 180 milyon TL'yi,</w:t>
      </w:r>
    </w:p>
    <w:p w14:paraId="57215EF2" w14:textId="2294D12C" w:rsidR="000F3BED" w:rsidRPr="000F3BED" w:rsidRDefault="002718CC" w:rsidP="000F3BED">
      <w:r>
        <w:t>g</w:t>
      </w:r>
      <w:r w:rsidR="000F3BED" w:rsidRPr="000F3BED">
        <w:t>eçem</w:t>
      </w:r>
      <w:r w:rsidR="000F3BED">
        <w:t>eyecektir.</w:t>
      </w:r>
    </w:p>
    <w:p w14:paraId="2C46D83A" w14:textId="4C49120A" w:rsidR="0007108B" w:rsidRPr="000F3BED" w:rsidRDefault="000F3BED" w:rsidP="000F3BED">
      <w:r w:rsidRPr="000F3BED">
        <w:t>(3)</w:t>
      </w:r>
      <w:r>
        <w:t xml:space="preserve"> </w:t>
      </w:r>
      <w:r w:rsidRPr="002718CC">
        <w:rPr>
          <w:b/>
          <w:bCs/>
        </w:rPr>
        <w:t>Makine desteğinden faydalandırılan yatırımlara faiz veya kar payı desteği sağlanmayacaktır</w:t>
      </w:r>
      <w:r>
        <w:t>.</w:t>
      </w:r>
    </w:p>
    <w:p w14:paraId="6A49754C" w14:textId="002DB537" w:rsidR="00192291" w:rsidRPr="00192291" w:rsidRDefault="00192291" w:rsidP="00192291">
      <w:pPr>
        <w:spacing w:before="120" w:after="120"/>
        <w:rPr>
          <w:rFonts w:asciiTheme="majorHAnsi" w:eastAsia="Dotum" w:hAnsiTheme="majorHAnsi" w:cstheme="minorHAnsi"/>
          <w:b/>
          <w:bCs/>
          <w:color w:val="0066CC"/>
        </w:rPr>
      </w:pPr>
      <w:r>
        <w:rPr>
          <w:rFonts w:asciiTheme="majorHAnsi" w:eastAsia="Dotum" w:hAnsiTheme="majorHAnsi" w:cstheme="minorHAnsi"/>
          <w:b/>
          <w:bCs/>
          <w:color w:val="0066CC"/>
        </w:rPr>
        <w:t xml:space="preserve">9) </w:t>
      </w:r>
      <w:r w:rsidRPr="00192291">
        <w:rPr>
          <w:rFonts w:asciiTheme="majorHAnsi" w:eastAsia="Dotum" w:hAnsiTheme="majorHAnsi" w:cstheme="minorHAnsi"/>
          <w:b/>
          <w:bCs/>
          <w:color w:val="0066CC"/>
        </w:rPr>
        <w:t>Yeniden Değerleme</w:t>
      </w:r>
      <w:r>
        <w:rPr>
          <w:rFonts w:asciiTheme="majorHAnsi" w:eastAsia="Dotum" w:hAnsiTheme="majorHAnsi" w:cstheme="minorHAnsi"/>
          <w:b/>
          <w:bCs/>
          <w:color w:val="0066CC"/>
        </w:rPr>
        <w:t xml:space="preserve"> Uygulaması</w:t>
      </w:r>
      <w:r w:rsidRPr="00192291">
        <w:rPr>
          <w:rFonts w:asciiTheme="majorHAnsi" w:eastAsia="Dotum" w:hAnsiTheme="majorHAnsi" w:cstheme="minorHAnsi"/>
          <w:b/>
          <w:bCs/>
          <w:color w:val="0066CC"/>
        </w:rPr>
        <w:t xml:space="preserve"> ve </w:t>
      </w:r>
      <w:r>
        <w:rPr>
          <w:rFonts w:asciiTheme="majorHAnsi" w:eastAsia="Dotum" w:hAnsiTheme="majorHAnsi" w:cstheme="minorHAnsi"/>
          <w:b/>
          <w:bCs/>
          <w:color w:val="0066CC"/>
        </w:rPr>
        <w:t>Desteğin Üst Sınırı</w:t>
      </w:r>
    </w:p>
    <w:p w14:paraId="0E1FE485" w14:textId="77777777" w:rsidR="00192291" w:rsidRPr="00192291" w:rsidRDefault="00192291" w:rsidP="00192291">
      <w:r w:rsidRPr="00192291">
        <w:t>Bu Karar ve eklerinde yer alan Türk Lirası cinsindeki tutarlar her yıl, bir önceki yıla ilişkin yeniden değerleme oranı dikkate alınarak takvim yılı başından geçerli olmak üzere güncellenecektir.</w:t>
      </w:r>
    </w:p>
    <w:p w14:paraId="290A03DE" w14:textId="788E8659" w:rsidR="00192291" w:rsidRPr="00192291" w:rsidRDefault="00192291" w:rsidP="00192291">
      <w:r w:rsidRPr="00192291">
        <w:t xml:space="preserve">Teşvik belgesi kapsamında sağlanan KDV istisnası, gümrük vergisi muafiyeti, vergi indirimi, faiz veya kâr payı desteği ve makine desteğinin faydalanma yılı esas alınarak yeniden değerleme oranı ile hesaplanan </w:t>
      </w:r>
      <w:r w:rsidRPr="00192291">
        <w:rPr>
          <w:b/>
          <w:bCs/>
        </w:rPr>
        <w:t>toplam değeri</w:t>
      </w:r>
      <w:r w:rsidRPr="00192291">
        <w:t xml:space="preserve">, </w:t>
      </w:r>
      <w:r w:rsidRPr="00192291">
        <w:rPr>
          <w:b/>
          <w:bCs/>
        </w:rPr>
        <w:t>yeniden değerleme oranı dikkate alınarak hesaplanmış gerçekleşen sabit yatırım tutarını geçemeyecektir.</w:t>
      </w:r>
    </w:p>
    <w:p w14:paraId="4F22FD7E" w14:textId="65D31D91" w:rsidR="00192291" w:rsidRPr="00300143" w:rsidRDefault="00192291" w:rsidP="00192291">
      <w:pPr>
        <w:spacing w:before="120" w:after="120"/>
        <w:rPr>
          <w:rFonts w:asciiTheme="majorHAnsi" w:eastAsia="Dotum" w:hAnsiTheme="majorHAnsi" w:cstheme="minorHAnsi"/>
          <w:b/>
          <w:bCs/>
          <w:color w:val="0066CC"/>
        </w:rPr>
      </w:pPr>
      <w:r>
        <w:rPr>
          <w:rFonts w:asciiTheme="majorHAnsi" w:eastAsia="Dotum" w:hAnsiTheme="majorHAnsi" w:cstheme="minorHAnsi"/>
          <w:b/>
          <w:bCs/>
          <w:color w:val="0066CC"/>
        </w:rPr>
        <w:t>10)</w:t>
      </w:r>
      <w:r w:rsidRPr="00192291">
        <w:rPr>
          <w:rFonts w:asciiTheme="majorHAnsi" w:eastAsia="Dotum" w:hAnsiTheme="majorHAnsi" w:cstheme="minorHAnsi"/>
          <w:b/>
          <w:bCs/>
          <w:color w:val="0066CC"/>
        </w:rPr>
        <w:t xml:space="preserve"> Mevcut Belge Sahipleri ve Geçiş </w:t>
      </w:r>
      <w:r w:rsidR="002718CC">
        <w:rPr>
          <w:rFonts w:asciiTheme="majorHAnsi" w:eastAsia="Dotum" w:hAnsiTheme="majorHAnsi" w:cstheme="minorHAnsi"/>
          <w:b/>
          <w:bCs/>
          <w:color w:val="0066CC"/>
        </w:rPr>
        <w:t>Düzenlemesi</w:t>
      </w:r>
    </w:p>
    <w:p w14:paraId="106948EA" w14:textId="77777777" w:rsidR="00192291" w:rsidRDefault="00192291" w:rsidP="00192291">
      <w:r>
        <w:rPr>
          <w:rFonts w:ascii="Segoe UI Emoji" w:hAnsi="Segoe UI Emoji" w:cs="Segoe UI Emoji"/>
        </w:rPr>
        <w:t xml:space="preserve">Bu Karar ile, </w:t>
      </w:r>
      <w:r>
        <w:t xml:space="preserve">2012/3305 Sayılı BKK ( Yatırımlarda Devlet Yardımları Hakkında Karar )  ve 2018/11201 Sayılı BKK (Cazibe Merkezleri Programı Kapsamında Yatırımların Desteklenmesi ) yürürlükten kalkmış olmakla birlikte Kararın yürürlüğe girdiği tarihten önceki kararlara istinaden düzenlenen teşvik belgeleri kendi mevzuatlarına tabi olmaya devam edecektir. </w:t>
      </w:r>
    </w:p>
    <w:p w14:paraId="3E015B0C" w14:textId="59BA9D17" w:rsidR="00192291" w:rsidRPr="00192291" w:rsidRDefault="00192291" w:rsidP="00192291">
      <w:pPr>
        <w:spacing w:before="120" w:after="120"/>
      </w:pPr>
      <w:r>
        <w:t>Sözü geçen</w:t>
      </w:r>
      <w:r w:rsidRPr="00192291">
        <w:t xml:space="preserve"> kararlara </w:t>
      </w:r>
      <w:r>
        <w:t>dayanılarak</w:t>
      </w:r>
      <w:r w:rsidRPr="00192291">
        <w:t xml:space="preserve"> düzenlenen teşvik belgeleri kapsamında temin edilen makine ve teçhizatın bu Karara istinaden düzenlenen teşvik belgesine devri yapılamayacaktır. Ancak, mevzuat düzenlemesi ya da ortaklık yapısı değişikliği nedeniyle yatırımın bağımsız üretim bölümlerine </w:t>
      </w:r>
      <w:r w:rsidRPr="00192291">
        <w:rPr>
          <w:u w:val="single" w:color="EE0000"/>
        </w:rPr>
        <w:t>bölünmesi</w:t>
      </w:r>
      <w:r w:rsidRPr="00192291">
        <w:t xml:space="preserve"> nedeniyle bölünen kısmın bu Karar kapsamında yeni bir teşvik belgesine devredilmesine, varsa fazladan faydalanılan desteğin geri alınması kaydıyla izin verilebilecektir.</w:t>
      </w:r>
    </w:p>
    <w:p w14:paraId="711AD15A" w14:textId="3D6D52EF" w:rsidR="00192291" w:rsidRPr="00192291" w:rsidRDefault="00192291" w:rsidP="00192291">
      <w:pPr>
        <w:spacing w:before="120" w:after="120"/>
      </w:pPr>
      <w:r w:rsidRPr="00192291">
        <w:t>Bu Karar kapsamında desteklenmeyen yatırım konularında daha önceki kararlara istinaden düzenlenmiş ve tamamlama vizesi yapılmamış teşvik belgelerine ilişkin kapasite artışına yol açacak makine ve teçhizat ilavesi yapılamayacaktır.</w:t>
      </w:r>
    </w:p>
    <w:p w14:paraId="2CDE5CC9" w14:textId="0267C511" w:rsidR="00192291" w:rsidRPr="00192291" w:rsidRDefault="00192291" w:rsidP="00192291">
      <w:pPr>
        <w:spacing w:before="120" w:after="120"/>
        <w:rPr>
          <w:rFonts w:asciiTheme="majorHAnsi" w:eastAsia="Dotum" w:hAnsiTheme="majorHAnsi" w:cstheme="minorHAnsi"/>
          <w:b/>
          <w:bCs/>
          <w:color w:val="0066CC"/>
        </w:rPr>
      </w:pPr>
      <w:r>
        <w:rPr>
          <w:rFonts w:asciiTheme="majorHAnsi" w:eastAsia="Dotum" w:hAnsiTheme="majorHAnsi" w:cstheme="minorHAnsi"/>
          <w:b/>
          <w:bCs/>
          <w:color w:val="0066CC"/>
        </w:rPr>
        <w:t>11)</w:t>
      </w:r>
      <w:r w:rsidRPr="00192291">
        <w:rPr>
          <w:rFonts w:asciiTheme="majorHAnsi" w:eastAsia="Dotum" w:hAnsiTheme="majorHAnsi" w:cstheme="minorHAnsi"/>
          <w:b/>
          <w:bCs/>
          <w:color w:val="0066CC"/>
        </w:rPr>
        <w:t xml:space="preserve"> </w:t>
      </w:r>
      <w:r>
        <w:rPr>
          <w:rFonts w:asciiTheme="majorHAnsi" w:eastAsia="Dotum" w:hAnsiTheme="majorHAnsi" w:cstheme="minorHAnsi"/>
          <w:b/>
          <w:bCs/>
          <w:color w:val="0066CC"/>
        </w:rPr>
        <w:t xml:space="preserve">Bu Karar Öncesi </w:t>
      </w:r>
      <w:r w:rsidRPr="00192291">
        <w:rPr>
          <w:rFonts w:asciiTheme="majorHAnsi" w:eastAsia="Dotum" w:hAnsiTheme="majorHAnsi" w:cstheme="minorHAnsi"/>
          <w:b/>
          <w:bCs/>
          <w:color w:val="0066CC"/>
        </w:rPr>
        <w:t>Teşvik Belgesi Başvuruları</w:t>
      </w:r>
      <w:r>
        <w:rPr>
          <w:rFonts w:asciiTheme="majorHAnsi" w:eastAsia="Dotum" w:hAnsiTheme="majorHAnsi" w:cstheme="minorHAnsi"/>
          <w:b/>
          <w:bCs/>
          <w:color w:val="0066CC"/>
        </w:rPr>
        <w:t>nın Değerlendirilmesi</w:t>
      </w:r>
    </w:p>
    <w:p w14:paraId="631C1D98" w14:textId="31018A89" w:rsidR="00192291" w:rsidRDefault="00192291" w:rsidP="00192291">
      <w:pPr>
        <w:spacing w:before="120" w:after="120"/>
      </w:pPr>
      <w:r>
        <w:t xml:space="preserve">Bu </w:t>
      </w:r>
      <w:r w:rsidRPr="00192291">
        <w:t>Kararın yayım tarihinden önce yapılan başvurular eski karar (2012/3305) kapsamında değerlendirilecektir</w:t>
      </w:r>
      <w:r>
        <w:t xml:space="preserve"> ve sonuçlandırılacaktır.</w:t>
      </w:r>
    </w:p>
    <w:p w14:paraId="0FEC27EA" w14:textId="77777777" w:rsidR="002718CC" w:rsidRDefault="002718CC" w:rsidP="00192291">
      <w:pPr>
        <w:spacing w:before="120" w:after="120"/>
      </w:pPr>
    </w:p>
    <w:p w14:paraId="06092B3D" w14:textId="77777777" w:rsidR="002718CC" w:rsidRPr="00192291" w:rsidRDefault="002718CC" w:rsidP="00192291">
      <w:pPr>
        <w:spacing w:before="120" w:after="120"/>
      </w:pPr>
    </w:p>
    <w:p w14:paraId="765113E5" w14:textId="35084C40" w:rsidR="00192291" w:rsidRPr="00192291" w:rsidRDefault="00192291" w:rsidP="00192291">
      <w:pPr>
        <w:spacing w:before="120" w:after="120"/>
        <w:rPr>
          <w:rFonts w:asciiTheme="majorHAnsi" w:eastAsia="Dotum" w:hAnsiTheme="majorHAnsi" w:cstheme="minorHAnsi"/>
          <w:b/>
          <w:bCs/>
          <w:color w:val="0066CC"/>
        </w:rPr>
      </w:pPr>
      <w:r>
        <w:rPr>
          <w:rFonts w:asciiTheme="majorHAnsi" w:eastAsia="Dotum" w:hAnsiTheme="majorHAnsi" w:cstheme="minorHAnsi"/>
          <w:b/>
          <w:bCs/>
          <w:color w:val="0066CC"/>
        </w:rPr>
        <w:lastRenderedPageBreak/>
        <w:t>12)</w:t>
      </w:r>
      <w:r w:rsidRPr="00192291">
        <w:rPr>
          <w:rFonts w:asciiTheme="majorHAnsi" w:eastAsia="Dotum" w:hAnsiTheme="majorHAnsi" w:cstheme="minorHAnsi"/>
          <w:b/>
          <w:bCs/>
          <w:color w:val="0066CC"/>
        </w:rPr>
        <w:t xml:space="preserve"> </w:t>
      </w:r>
      <w:r>
        <w:rPr>
          <w:rFonts w:asciiTheme="majorHAnsi" w:eastAsia="Dotum" w:hAnsiTheme="majorHAnsi" w:cstheme="minorHAnsi"/>
          <w:b/>
          <w:bCs/>
          <w:color w:val="0066CC"/>
        </w:rPr>
        <w:t xml:space="preserve">Bu Kararının Geçerlilik </w:t>
      </w:r>
      <w:r w:rsidRPr="00192291">
        <w:rPr>
          <w:rFonts w:asciiTheme="majorHAnsi" w:eastAsia="Dotum" w:hAnsiTheme="majorHAnsi" w:cstheme="minorHAnsi"/>
          <w:b/>
          <w:bCs/>
          <w:color w:val="0066CC"/>
        </w:rPr>
        <w:t>Süre</w:t>
      </w:r>
      <w:r>
        <w:rPr>
          <w:rFonts w:asciiTheme="majorHAnsi" w:eastAsia="Dotum" w:hAnsiTheme="majorHAnsi" w:cstheme="minorHAnsi"/>
          <w:b/>
          <w:bCs/>
          <w:color w:val="0066CC"/>
        </w:rPr>
        <w:t>si</w:t>
      </w:r>
      <w:r w:rsidRPr="00192291">
        <w:rPr>
          <w:rFonts w:asciiTheme="majorHAnsi" w:eastAsia="Dotum" w:hAnsiTheme="majorHAnsi" w:cstheme="minorHAnsi"/>
          <w:b/>
          <w:bCs/>
          <w:color w:val="0066CC"/>
        </w:rPr>
        <w:t xml:space="preserve"> </w:t>
      </w:r>
    </w:p>
    <w:p w14:paraId="2428819A" w14:textId="41C9B520" w:rsidR="00192291" w:rsidRPr="00192291" w:rsidRDefault="00192291" w:rsidP="00192291">
      <w:pPr>
        <w:spacing w:before="120" w:after="120"/>
      </w:pPr>
      <w:r w:rsidRPr="00192291">
        <w:t>Bu Karar</w:t>
      </w:r>
      <w:r>
        <w:t>,</w:t>
      </w:r>
      <w:r w:rsidRPr="00192291">
        <w:t xml:space="preserve"> 30 Mayıs 2025 ile 31 Aralık 2030 arasında </w:t>
      </w:r>
      <w:r>
        <w:t xml:space="preserve">yapılacak başvurular için </w:t>
      </w:r>
      <w:r w:rsidRPr="00192291">
        <w:t>geçerli olacak</w:t>
      </w:r>
      <w:r>
        <w:t>tır.</w:t>
      </w:r>
      <w:r w:rsidRPr="00192291">
        <w:t xml:space="preserve"> </w:t>
      </w:r>
      <w:r>
        <w:t>Sonrası için ya süre uzatılacak ya da yeni bir Karar yayınlanacaktır.</w:t>
      </w:r>
    </w:p>
    <w:p w14:paraId="12F78BED" w14:textId="3FD50B3D" w:rsidR="00192291" w:rsidRPr="00B75F33" w:rsidRDefault="00B75F33" w:rsidP="00192291">
      <w:pPr>
        <w:spacing w:before="120" w:after="120"/>
        <w:rPr>
          <w:rFonts w:asciiTheme="majorHAnsi" w:eastAsia="Dotum" w:hAnsiTheme="majorHAnsi" w:cstheme="minorHAnsi"/>
          <w:b/>
          <w:bCs/>
          <w:color w:val="0066CC"/>
        </w:rPr>
      </w:pPr>
      <w:r w:rsidRPr="00B75F33">
        <w:rPr>
          <w:rFonts w:asciiTheme="majorHAnsi" w:eastAsia="Dotum" w:hAnsiTheme="majorHAnsi" w:cstheme="minorHAnsi"/>
          <w:b/>
          <w:bCs/>
          <w:color w:val="0066CC"/>
        </w:rPr>
        <w:t xml:space="preserve">13) </w:t>
      </w:r>
      <w:r w:rsidR="002718CC">
        <w:rPr>
          <w:rFonts w:asciiTheme="majorHAnsi" w:eastAsia="Dotum" w:hAnsiTheme="majorHAnsi" w:cstheme="minorHAnsi"/>
          <w:b/>
          <w:bCs/>
          <w:color w:val="0066CC"/>
        </w:rPr>
        <w:t xml:space="preserve">Yeni Karar’a İlişkin </w:t>
      </w:r>
      <w:r>
        <w:rPr>
          <w:rFonts w:asciiTheme="majorHAnsi" w:eastAsia="Dotum" w:hAnsiTheme="majorHAnsi" w:cstheme="minorHAnsi"/>
          <w:b/>
          <w:bCs/>
          <w:color w:val="0066CC"/>
        </w:rPr>
        <w:t>Bakanlığın Ayrıntılı Sunumu</w:t>
      </w:r>
    </w:p>
    <w:p w14:paraId="4582F03E" w14:textId="65B7682A" w:rsidR="00B75F33" w:rsidRDefault="00B75F33" w:rsidP="00192291">
      <w:pPr>
        <w:spacing w:before="120" w:after="120"/>
        <w:rPr>
          <w:rFonts w:asciiTheme="majorHAnsi" w:eastAsiaTheme="majorEastAsia" w:hAnsiTheme="majorHAnsi" w:cstheme="minorHAnsi"/>
        </w:rPr>
      </w:pPr>
      <w:r>
        <w:rPr>
          <w:rFonts w:asciiTheme="majorHAnsi" w:eastAsiaTheme="majorEastAsia" w:hAnsiTheme="majorHAnsi" w:cstheme="minorHAnsi"/>
        </w:rPr>
        <w:t xml:space="preserve">Sanayi ve Teknoloji Bakanlığı, yeni yatırım teşvik sistemine ilişkin olarak ayrıntılı bir sunum paylaşmış bulunmaktadır. Sunuma </w:t>
      </w:r>
      <w:hyperlink r:id="rId9" w:history="1">
        <w:r w:rsidRPr="00300143">
          <w:rPr>
            <w:rStyle w:val="Kpr"/>
            <w:rFonts w:asciiTheme="majorHAnsi" w:eastAsiaTheme="majorEastAsia" w:hAnsiTheme="majorHAnsi" w:cstheme="minorHAnsi"/>
          </w:rPr>
          <w:t>bu bağ</w:t>
        </w:r>
        <w:r w:rsidRPr="00300143">
          <w:rPr>
            <w:rStyle w:val="Kpr"/>
            <w:rFonts w:asciiTheme="majorHAnsi" w:eastAsiaTheme="majorEastAsia" w:hAnsiTheme="majorHAnsi" w:cstheme="minorHAnsi"/>
          </w:rPr>
          <w:t>l</w:t>
        </w:r>
        <w:r w:rsidRPr="00300143">
          <w:rPr>
            <w:rStyle w:val="Kpr"/>
            <w:rFonts w:asciiTheme="majorHAnsi" w:eastAsiaTheme="majorEastAsia" w:hAnsiTheme="majorHAnsi" w:cstheme="minorHAnsi"/>
          </w:rPr>
          <w:t>antıdan</w:t>
        </w:r>
      </w:hyperlink>
      <w:r>
        <w:rPr>
          <w:rFonts w:asciiTheme="majorHAnsi" w:eastAsiaTheme="majorEastAsia" w:hAnsiTheme="majorHAnsi" w:cstheme="minorHAnsi"/>
        </w:rPr>
        <w:t xml:space="preserve"> ulaşılması mümkündür.</w:t>
      </w:r>
    </w:p>
    <w:p w14:paraId="5BBB7AA2" w14:textId="448BE2A7" w:rsidR="00C15993" w:rsidRDefault="00C15993" w:rsidP="00192291">
      <w:pPr>
        <w:spacing w:before="120" w:after="120"/>
        <w:rPr>
          <w:rFonts w:asciiTheme="majorHAnsi" w:eastAsiaTheme="majorEastAsia" w:hAnsiTheme="majorHAnsi" w:cstheme="minorHAnsi"/>
        </w:rPr>
      </w:pPr>
      <w:r w:rsidRPr="00F36BE4">
        <w:rPr>
          <w:rFonts w:asciiTheme="majorHAnsi" w:eastAsiaTheme="majorEastAsia" w:hAnsiTheme="majorHAnsi" w:cstheme="minorHAnsi"/>
        </w:rPr>
        <w:t xml:space="preserve">Bu Sirkülerimize ilişkin görüş, öneri ve sorularınızı </w:t>
      </w:r>
      <w:hyperlink r:id="rId10" w:history="1">
        <w:r w:rsidRPr="00F36BE4">
          <w:rPr>
            <w:rStyle w:val="Kpr"/>
            <w:rFonts w:asciiTheme="majorHAnsi" w:hAnsiTheme="majorHAnsi" w:cstheme="minorHAnsi"/>
          </w:rPr>
          <w:t>info@narcon.com.tr</w:t>
        </w:r>
      </w:hyperlink>
      <w:r w:rsidRPr="00F36BE4">
        <w:rPr>
          <w:rFonts w:asciiTheme="majorHAnsi" w:eastAsiaTheme="majorEastAsia" w:hAnsiTheme="majorHAnsi" w:cstheme="minorHAnsi"/>
        </w:rPr>
        <w:t xml:space="preserve">‘ye iletebilirsiniz. </w:t>
      </w:r>
    </w:p>
    <w:p w14:paraId="70D4BE2A" w14:textId="28C18061" w:rsidR="00467AC5" w:rsidRPr="00F36BE4" w:rsidRDefault="00467AC5" w:rsidP="00467AC5">
      <w:pPr>
        <w:spacing w:before="120" w:after="120"/>
        <w:rPr>
          <w:rFonts w:asciiTheme="majorHAnsi" w:eastAsia="Dotum" w:hAnsiTheme="majorHAnsi" w:cstheme="minorHAnsi"/>
        </w:rPr>
      </w:pPr>
      <w:r w:rsidRPr="00F36BE4">
        <w:rPr>
          <w:rFonts w:asciiTheme="majorHAnsi" w:eastAsia="Dotum" w:hAnsiTheme="majorHAnsi" w:cstheme="minorHAnsi"/>
        </w:rPr>
        <w:t>Saygılarımızla.</w:t>
      </w:r>
    </w:p>
    <w:p w14:paraId="2C904818" w14:textId="77777777" w:rsidR="00467AC5" w:rsidRPr="00F36BE4" w:rsidRDefault="00467AC5" w:rsidP="00467AC5">
      <w:pPr>
        <w:spacing w:before="120" w:after="120"/>
        <w:rPr>
          <w:rFonts w:asciiTheme="majorHAnsi" w:eastAsia="Dotum" w:hAnsiTheme="majorHAnsi" w:cstheme="minorHAnsi"/>
        </w:rPr>
      </w:pPr>
      <w:r w:rsidRPr="00F36BE4">
        <w:rPr>
          <w:rFonts w:asciiTheme="majorHAnsi" w:eastAsia="Dotum" w:hAnsiTheme="majorHAnsi" w:cstheme="minorHAnsi"/>
        </w:rPr>
        <w:t>NARCON YEMİNLİ MALİ MÜŞAVİRLİK A.Ş.</w:t>
      </w:r>
    </w:p>
    <w:p w14:paraId="362A9DDB" w14:textId="77777777" w:rsidR="00467AC5" w:rsidRPr="00F36BE4" w:rsidRDefault="00467AC5" w:rsidP="00467AC5">
      <w:pPr>
        <w:spacing w:before="120" w:after="120"/>
        <w:rPr>
          <w:rStyle w:val="GlBavuru"/>
          <w:rFonts w:asciiTheme="majorHAnsi" w:hAnsiTheme="majorHAnsi" w:cstheme="minorHAnsi"/>
        </w:rPr>
      </w:pPr>
      <w:hyperlink r:id="rId11" w:history="1">
        <w:r w:rsidRPr="00F36BE4">
          <w:rPr>
            <w:rStyle w:val="Kpr"/>
            <w:rFonts w:asciiTheme="majorHAnsi" w:hAnsiTheme="majorHAnsi" w:cstheme="minorHAnsi"/>
          </w:rPr>
          <w:t>www.narcon.com.tr</w:t>
        </w:r>
      </w:hyperlink>
    </w:p>
    <w:p w14:paraId="35EFEACA" w14:textId="08972524" w:rsidR="005278E2" w:rsidRPr="006D0119" w:rsidRDefault="00B75F33" w:rsidP="006D0119">
      <w:pPr>
        <w:spacing w:before="120" w:after="120"/>
        <w:rPr>
          <w:rFonts w:asciiTheme="majorHAnsi" w:hAnsiTheme="majorHAnsi" w:cstheme="minorHAnsi"/>
          <w:caps/>
        </w:rPr>
      </w:pPr>
      <w:r>
        <w:rPr>
          <w:rStyle w:val="GlBavuru"/>
          <w:rFonts w:asciiTheme="majorHAnsi" w:hAnsiTheme="majorHAnsi" w:cstheme="minorHAnsi"/>
          <w:b w:val="0"/>
          <w:bCs w:val="0"/>
          <w:i w:val="0"/>
          <w:iCs w:val="0"/>
          <w:color w:val="auto"/>
        </w:rPr>
        <w:t>2</w:t>
      </w:r>
      <w:r w:rsidR="00467AC5" w:rsidRPr="00F36BE4">
        <w:rPr>
          <w:rStyle w:val="GlBavuru"/>
          <w:rFonts w:asciiTheme="majorHAnsi" w:hAnsiTheme="majorHAnsi" w:cstheme="minorHAnsi"/>
          <w:b w:val="0"/>
          <w:bCs w:val="0"/>
          <w:i w:val="0"/>
          <w:iCs w:val="0"/>
          <w:color w:val="auto"/>
        </w:rPr>
        <w:t>.</w:t>
      </w:r>
      <w:r>
        <w:rPr>
          <w:rStyle w:val="GlBavuru"/>
          <w:rFonts w:asciiTheme="majorHAnsi" w:hAnsiTheme="majorHAnsi" w:cstheme="minorHAnsi"/>
          <w:b w:val="0"/>
          <w:bCs w:val="0"/>
          <w:i w:val="0"/>
          <w:iCs w:val="0"/>
          <w:color w:val="auto"/>
        </w:rPr>
        <w:t>6</w:t>
      </w:r>
      <w:r w:rsidR="00467AC5" w:rsidRPr="00F36BE4">
        <w:rPr>
          <w:rStyle w:val="GlBavuru"/>
          <w:rFonts w:asciiTheme="majorHAnsi" w:hAnsiTheme="majorHAnsi" w:cstheme="minorHAnsi"/>
          <w:b w:val="0"/>
          <w:bCs w:val="0"/>
          <w:i w:val="0"/>
          <w:iCs w:val="0"/>
          <w:color w:val="auto"/>
        </w:rPr>
        <w:t>.202</w:t>
      </w:r>
      <w:r w:rsidR="00ED11CF">
        <w:rPr>
          <w:rStyle w:val="GlBavuru"/>
          <w:rFonts w:asciiTheme="majorHAnsi" w:hAnsiTheme="majorHAnsi" w:cstheme="minorHAnsi"/>
          <w:b w:val="0"/>
          <w:bCs w:val="0"/>
          <w:i w:val="0"/>
          <w:iCs w:val="0"/>
          <w:color w:val="auto"/>
        </w:rPr>
        <w:t>5</w:t>
      </w:r>
    </w:p>
    <w:sectPr w:rsidR="005278E2" w:rsidRPr="006D0119" w:rsidSect="00836F61">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1B580" w14:textId="77777777" w:rsidR="00137759" w:rsidRDefault="00137759" w:rsidP="00DD62DA">
      <w:pPr>
        <w:spacing w:after="0" w:line="240" w:lineRule="auto"/>
      </w:pPr>
      <w:r>
        <w:separator/>
      </w:r>
    </w:p>
  </w:endnote>
  <w:endnote w:type="continuationSeparator" w:id="0">
    <w:p w14:paraId="0E15100B" w14:textId="77777777" w:rsidR="00137759" w:rsidRDefault="00137759" w:rsidP="00DD6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A2"/>
    <w:family w:val="auto"/>
    <w:pitch w:val="variable"/>
    <w:sig w:usb0="A000005F" w:usb1="02000041" w:usb2="00000800" w:usb3="00000000" w:csb0="00000093" w:csb1="00000000"/>
  </w:font>
  <w:font w:name="Dotum">
    <w:altName w:val="돋움"/>
    <w:panose1 w:val="020B0600000101010101"/>
    <w:charset w:val="81"/>
    <w:family w:val="swiss"/>
    <w:pitch w:val="variable"/>
    <w:sig w:usb0="B00002AF" w:usb1="69D77CFB" w:usb2="00000030" w:usb3="00000000" w:csb0="0008009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225690"/>
      <w:docPartObj>
        <w:docPartGallery w:val="Page Numbers (Bottom of Page)"/>
        <w:docPartUnique/>
      </w:docPartObj>
    </w:sdtPr>
    <w:sdtContent>
      <w:p w14:paraId="6382949F" w14:textId="5EDAA803" w:rsidR="00DE37CE" w:rsidRDefault="00DE37CE">
        <w:pPr>
          <w:pStyle w:val="AltBilgi"/>
          <w:jc w:val="right"/>
        </w:pPr>
        <w:r>
          <w:fldChar w:fldCharType="begin"/>
        </w:r>
        <w:r>
          <w:instrText>PAGE   \* MERGEFORMAT</w:instrText>
        </w:r>
        <w:r>
          <w:fldChar w:fldCharType="separate"/>
        </w:r>
        <w:r>
          <w:t>2</w:t>
        </w:r>
        <w:r>
          <w:fldChar w:fldCharType="end"/>
        </w:r>
      </w:p>
    </w:sdtContent>
  </w:sdt>
  <w:p w14:paraId="6F58A6AD" w14:textId="77777777" w:rsidR="00DE37CE" w:rsidRDefault="00DE37C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B06D7" w14:textId="77777777" w:rsidR="00137759" w:rsidRDefault="00137759" w:rsidP="00DD62DA">
      <w:pPr>
        <w:spacing w:after="0" w:line="240" w:lineRule="auto"/>
      </w:pPr>
      <w:r>
        <w:separator/>
      </w:r>
    </w:p>
  </w:footnote>
  <w:footnote w:type="continuationSeparator" w:id="0">
    <w:p w14:paraId="7F35868D" w14:textId="77777777" w:rsidR="00137759" w:rsidRDefault="00137759" w:rsidP="00DD6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59ACE" w14:textId="6D607BDB" w:rsidR="009046DA" w:rsidRDefault="009046DA" w:rsidP="00DD62DA">
    <w:pPr>
      <w:pStyle w:val="stBilgi"/>
      <w:jc w:val="right"/>
    </w:pPr>
  </w:p>
  <w:p w14:paraId="7EBE9CF6" w14:textId="051BC99E" w:rsidR="00D74776" w:rsidRDefault="00D74776" w:rsidP="00DD62DA">
    <w:pPr>
      <w:pStyle w:val="stBilgi"/>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543FF" w14:textId="74C3AE25" w:rsidR="001839BB" w:rsidRDefault="008E3F36" w:rsidP="008E3F36">
    <w:pPr>
      <w:pStyle w:val="stBilgi"/>
      <w:tabs>
        <w:tab w:val="left" w:pos="1215"/>
      </w:tabs>
    </w:pPr>
    <w:r>
      <w:tab/>
    </w:r>
    <w:r>
      <w:tab/>
    </w:r>
    <w:r>
      <w:tab/>
    </w:r>
    <w:r w:rsidR="001839BB">
      <w:rPr>
        <w:noProof/>
      </w:rPr>
      <w:drawing>
        <wp:inline distT="0" distB="0" distL="0" distR="0" wp14:anchorId="205366E1" wp14:editId="7FE7374C">
          <wp:extent cx="1400175" cy="336700"/>
          <wp:effectExtent l="0" t="0" r="0" b="635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8"/>
                  <pic:cNvPicPr/>
                </pic:nvPicPr>
                <pic:blipFill>
                  <a:blip r:embed="rId1">
                    <a:extLst>
                      <a:ext uri="{28A0092B-C50C-407E-A947-70E740481C1C}">
                        <a14:useLocalDpi xmlns:a14="http://schemas.microsoft.com/office/drawing/2010/main" val="0"/>
                      </a:ext>
                    </a:extLst>
                  </a:blip>
                  <a:stretch>
                    <a:fillRect/>
                  </a:stretch>
                </pic:blipFill>
                <pic:spPr>
                  <a:xfrm>
                    <a:off x="0" y="0"/>
                    <a:ext cx="1464303" cy="352121"/>
                  </a:xfrm>
                  <a:prstGeom prst="rect">
                    <a:avLst/>
                  </a:prstGeom>
                </pic:spPr>
              </pic:pic>
            </a:graphicData>
          </a:graphic>
        </wp:inline>
      </w:drawing>
    </w:r>
  </w:p>
  <w:p w14:paraId="242E53D9" w14:textId="77777777" w:rsidR="001839BB" w:rsidRDefault="001839BB" w:rsidP="001839BB">
    <w:pPr>
      <w:pStyle w:val="stBilgi"/>
      <w:jc w:val="right"/>
    </w:pPr>
    <w:hyperlink r:id="rId2" w:history="1">
      <w:r w:rsidRPr="006124FF">
        <w:rPr>
          <w:rStyle w:val="Kpr"/>
        </w:rPr>
        <w:t>WWW.NARCON.COM.TR</w:t>
      </w:r>
    </w:hyperlink>
    <w:r>
      <w:t xml:space="preserve"> </w:t>
    </w:r>
  </w:p>
  <w:p w14:paraId="11849059" w14:textId="0D47890C" w:rsidR="001839BB" w:rsidRDefault="001839B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173D1"/>
    <w:multiLevelType w:val="multilevel"/>
    <w:tmpl w:val="C5E6C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151C2"/>
    <w:multiLevelType w:val="hybridMultilevel"/>
    <w:tmpl w:val="AEF0C9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8F94369"/>
    <w:multiLevelType w:val="hybridMultilevel"/>
    <w:tmpl w:val="4C3E3CAE"/>
    <w:lvl w:ilvl="0" w:tplc="E13A23B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1F0958EF"/>
    <w:multiLevelType w:val="hybridMultilevel"/>
    <w:tmpl w:val="759C574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8A467A9"/>
    <w:multiLevelType w:val="multilevel"/>
    <w:tmpl w:val="3D8A2DE4"/>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DF284F"/>
    <w:multiLevelType w:val="multilevel"/>
    <w:tmpl w:val="1A92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185786D"/>
    <w:multiLevelType w:val="multilevel"/>
    <w:tmpl w:val="655AA85C"/>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3208C2"/>
    <w:multiLevelType w:val="hybridMultilevel"/>
    <w:tmpl w:val="41EC698A"/>
    <w:lvl w:ilvl="0" w:tplc="70B8A9BA">
      <w:start w:val="1"/>
      <w:numFmt w:val="bullet"/>
      <w:lvlText w:val="•"/>
      <w:lvlJc w:val="left"/>
      <w:pPr>
        <w:tabs>
          <w:tab w:val="num" w:pos="720"/>
        </w:tabs>
        <w:ind w:left="720" w:hanging="360"/>
      </w:pPr>
      <w:rPr>
        <w:rFonts w:ascii="Times New Roman" w:hAnsi="Times New Roman" w:hint="default"/>
      </w:rPr>
    </w:lvl>
    <w:lvl w:ilvl="1" w:tplc="B2C85454" w:tentative="1">
      <w:start w:val="1"/>
      <w:numFmt w:val="bullet"/>
      <w:lvlText w:val="•"/>
      <w:lvlJc w:val="left"/>
      <w:pPr>
        <w:tabs>
          <w:tab w:val="num" w:pos="1440"/>
        </w:tabs>
        <w:ind w:left="1440" w:hanging="360"/>
      </w:pPr>
      <w:rPr>
        <w:rFonts w:ascii="Times New Roman" w:hAnsi="Times New Roman" w:hint="default"/>
      </w:rPr>
    </w:lvl>
    <w:lvl w:ilvl="2" w:tplc="AF54D5B4" w:tentative="1">
      <w:start w:val="1"/>
      <w:numFmt w:val="bullet"/>
      <w:lvlText w:val="•"/>
      <w:lvlJc w:val="left"/>
      <w:pPr>
        <w:tabs>
          <w:tab w:val="num" w:pos="2160"/>
        </w:tabs>
        <w:ind w:left="2160" w:hanging="360"/>
      </w:pPr>
      <w:rPr>
        <w:rFonts w:ascii="Times New Roman" w:hAnsi="Times New Roman" w:hint="default"/>
      </w:rPr>
    </w:lvl>
    <w:lvl w:ilvl="3" w:tplc="DA883524" w:tentative="1">
      <w:start w:val="1"/>
      <w:numFmt w:val="bullet"/>
      <w:lvlText w:val="•"/>
      <w:lvlJc w:val="left"/>
      <w:pPr>
        <w:tabs>
          <w:tab w:val="num" w:pos="2880"/>
        </w:tabs>
        <w:ind w:left="2880" w:hanging="360"/>
      </w:pPr>
      <w:rPr>
        <w:rFonts w:ascii="Times New Roman" w:hAnsi="Times New Roman" w:hint="default"/>
      </w:rPr>
    </w:lvl>
    <w:lvl w:ilvl="4" w:tplc="23DABBD6" w:tentative="1">
      <w:start w:val="1"/>
      <w:numFmt w:val="bullet"/>
      <w:lvlText w:val="•"/>
      <w:lvlJc w:val="left"/>
      <w:pPr>
        <w:tabs>
          <w:tab w:val="num" w:pos="3600"/>
        </w:tabs>
        <w:ind w:left="3600" w:hanging="360"/>
      </w:pPr>
      <w:rPr>
        <w:rFonts w:ascii="Times New Roman" w:hAnsi="Times New Roman" w:hint="default"/>
      </w:rPr>
    </w:lvl>
    <w:lvl w:ilvl="5" w:tplc="AC64FE46" w:tentative="1">
      <w:start w:val="1"/>
      <w:numFmt w:val="bullet"/>
      <w:lvlText w:val="•"/>
      <w:lvlJc w:val="left"/>
      <w:pPr>
        <w:tabs>
          <w:tab w:val="num" w:pos="4320"/>
        </w:tabs>
        <w:ind w:left="4320" w:hanging="360"/>
      </w:pPr>
      <w:rPr>
        <w:rFonts w:ascii="Times New Roman" w:hAnsi="Times New Roman" w:hint="default"/>
      </w:rPr>
    </w:lvl>
    <w:lvl w:ilvl="6" w:tplc="58BE012E" w:tentative="1">
      <w:start w:val="1"/>
      <w:numFmt w:val="bullet"/>
      <w:lvlText w:val="•"/>
      <w:lvlJc w:val="left"/>
      <w:pPr>
        <w:tabs>
          <w:tab w:val="num" w:pos="5040"/>
        </w:tabs>
        <w:ind w:left="5040" w:hanging="360"/>
      </w:pPr>
      <w:rPr>
        <w:rFonts w:ascii="Times New Roman" w:hAnsi="Times New Roman" w:hint="default"/>
      </w:rPr>
    </w:lvl>
    <w:lvl w:ilvl="7" w:tplc="952427F8" w:tentative="1">
      <w:start w:val="1"/>
      <w:numFmt w:val="bullet"/>
      <w:lvlText w:val="•"/>
      <w:lvlJc w:val="left"/>
      <w:pPr>
        <w:tabs>
          <w:tab w:val="num" w:pos="5760"/>
        </w:tabs>
        <w:ind w:left="5760" w:hanging="360"/>
      </w:pPr>
      <w:rPr>
        <w:rFonts w:ascii="Times New Roman" w:hAnsi="Times New Roman" w:hint="default"/>
      </w:rPr>
    </w:lvl>
    <w:lvl w:ilvl="8" w:tplc="ABEC084C"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675769F"/>
    <w:multiLevelType w:val="multilevel"/>
    <w:tmpl w:val="F0BA92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E410734"/>
    <w:multiLevelType w:val="multilevel"/>
    <w:tmpl w:val="200CBC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0F6A0B"/>
    <w:multiLevelType w:val="hybridMultilevel"/>
    <w:tmpl w:val="66728AD2"/>
    <w:lvl w:ilvl="0" w:tplc="C464A876">
      <w:start w:val="1"/>
      <w:numFmt w:val="decimal"/>
      <w:lvlText w:val="%1."/>
      <w:lvlJc w:val="left"/>
      <w:pPr>
        <w:ind w:left="690" w:hanging="360"/>
      </w:pPr>
      <w:rPr>
        <w:rFonts w:hint="default"/>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abstractNum w:abstractNumId="11" w15:restartNumberingAfterBreak="0">
    <w:nsid w:val="6B073DC4"/>
    <w:multiLevelType w:val="hybridMultilevel"/>
    <w:tmpl w:val="10D05212"/>
    <w:lvl w:ilvl="0" w:tplc="F8C8B660">
      <w:start w:val="40"/>
      <w:numFmt w:val="bullet"/>
      <w:lvlText w:val="-"/>
      <w:lvlJc w:val="left"/>
      <w:pPr>
        <w:ind w:left="720" w:hanging="360"/>
      </w:pPr>
      <w:rPr>
        <w:rFonts w:ascii="Ebrima" w:eastAsiaTheme="majorEastAsia" w:hAnsi="Ebrima"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DEF390E"/>
    <w:multiLevelType w:val="multilevel"/>
    <w:tmpl w:val="29CA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0001125"/>
    <w:multiLevelType w:val="multilevel"/>
    <w:tmpl w:val="D39E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2376B0D"/>
    <w:multiLevelType w:val="multilevel"/>
    <w:tmpl w:val="64DE0128"/>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24391596">
    <w:abstractNumId w:val="7"/>
  </w:num>
  <w:num w:numId="2" w16cid:durableId="1408191333">
    <w:abstractNumId w:val="1"/>
  </w:num>
  <w:num w:numId="3" w16cid:durableId="1044065772">
    <w:abstractNumId w:val="11"/>
  </w:num>
  <w:num w:numId="4" w16cid:durableId="348336118">
    <w:abstractNumId w:val="0"/>
  </w:num>
  <w:num w:numId="5" w16cid:durableId="1989629987">
    <w:abstractNumId w:val="9"/>
  </w:num>
  <w:num w:numId="6" w16cid:durableId="63912646">
    <w:abstractNumId w:val="8"/>
  </w:num>
  <w:num w:numId="7" w16cid:durableId="760372147">
    <w:abstractNumId w:val="3"/>
  </w:num>
  <w:num w:numId="8" w16cid:durableId="325940127">
    <w:abstractNumId w:val="5"/>
  </w:num>
  <w:num w:numId="9" w16cid:durableId="1109622281">
    <w:abstractNumId w:val="12"/>
  </w:num>
  <w:num w:numId="10" w16cid:durableId="1972862469">
    <w:abstractNumId w:val="13"/>
  </w:num>
  <w:num w:numId="11" w16cid:durableId="1417746672">
    <w:abstractNumId w:val="14"/>
  </w:num>
  <w:num w:numId="12" w16cid:durableId="1810172608">
    <w:abstractNumId w:val="4"/>
  </w:num>
  <w:num w:numId="13" w16cid:durableId="923608168">
    <w:abstractNumId w:val="6"/>
  </w:num>
  <w:num w:numId="14" w16cid:durableId="1010259602">
    <w:abstractNumId w:val="10"/>
  </w:num>
  <w:num w:numId="15" w16cid:durableId="2032106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3"/>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5C6"/>
    <w:rsid w:val="00005670"/>
    <w:rsid w:val="00015D1C"/>
    <w:rsid w:val="0002002C"/>
    <w:rsid w:val="000217F8"/>
    <w:rsid w:val="00026DC3"/>
    <w:rsid w:val="0003412D"/>
    <w:rsid w:val="000431A3"/>
    <w:rsid w:val="00054B3C"/>
    <w:rsid w:val="00064E14"/>
    <w:rsid w:val="0006660D"/>
    <w:rsid w:val="00067808"/>
    <w:rsid w:val="00070A25"/>
    <w:rsid w:val="0007108B"/>
    <w:rsid w:val="00071DF2"/>
    <w:rsid w:val="000863CF"/>
    <w:rsid w:val="00093CFE"/>
    <w:rsid w:val="000A5E22"/>
    <w:rsid w:val="000A73BD"/>
    <w:rsid w:val="000A7D14"/>
    <w:rsid w:val="000C2A99"/>
    <w:rsid w:val="000D4409"/>
    <w:rsid w:val="000D5067"/>
    <w:rsid w:val="000D6308"/>
    <w:rsid w:val="000E0162"/>
    <w:rsid w:val="000F2E71"/>
    <w:rsid w:val="000F3BED"/>
    <w:rsid w:val="00100867"/>
    <w:rsid w:val="001009A5"/>
    <w:rsid w:val="00102C2F"/>
    <w:rsid w:val="00105415"/>
    <w:rsid w:val="00105D39"/>
    <w:rsid w:val="0011085E"/>
    <w:rsid w:val="00115636"/>
    <w:rsid w:val="00117652"/>
    <w:rsid w:val="00126F96"/>
    <w:rsid w:val="00134BF5"/>
    <w:rsid w:val="00137759"/>
    <w:rsid w:val="001434E0"/>
    <w:rsid w:val="00156B9E"/>
    <w:rsid w:val="00170F90"/>
    <w:rsid w:val="00172EBC"/>
    <w:rsid w:val="00176ECE"/>
    <w:rsid w:val="001776DD"/>
    <w:rsid w:val="001839BB"/>
    <w:rsid w:val="00192291"/>
    <w:rsid w:val="001A071C"/>
    <w:rsid w:val="001B091A"/>
    <w:rsid w:val="001C3051"/>
    <w:rsid w:val="001C3AE0"/>
    <w:rsid w:val="001C4E56"/>
    <w:rsid w:val="001D6D22"/>
    <w:rsid w:val="001E0D16"/>
    <w:rsid w:val="001F2C57"/>
    <w:rsid w:val="0020056C"/>
    <w:rsid w:val="002013D1"/>
    <w:rsid w:val="00203C19"/>
    <w:rsid w:val="00205F6B"/>
    <w:rsid w:val="00210B27"/>
    <w:rsid w:val="0021495B"/>
    <w:rsid w:val="00217D4F"/>
    <w:rsid w:val="002217FD"/>
    <w:rsid w:val="002237C8"/>
    <w:rsid w:val="00226829"/>
    <w:rsid w:val="002346CE"/>
    <w:rsid w:val="0024556D"/>
    <w:rsid w:val="00255113"/>
    <w:rsid w:val="002718CC"/>
    <w:rsid w:val="002900B2"/>
    <w:rsid w:val="00292BC3"/>
    <w:rsid w:val="002955C4"/>
    <w:rsid w:val="002A5E73"/>
    <w:rsid w:val="002C0D14"/>
    <w:rsid w:val="002C1F0D"/>
    <w:rsid w:val="002C4C73"/>
    <w:rsid w:val="002C744D"/>
    <w:rsid w:val="002E1A40"/>
    <w:rsid w:val="00300143"/>
    <w:rsid w:val="003008CC"/>
    <w:rsid w:val="00310C6E"/>
    <w:rsid w:val="003213E7"/>
    <w:rsid w:val="00323D83"/>
    <w:rsid w:val="00327F0A"/>
    <w:rsid w:val="003351C5"/>
    <w:rsid w:val="00337BE1"/>
    <w:rsid w:val="00343249"/>
    <w:rsid w:val="00374622"/>
    <w:rsid w:val="003756BA"/>
    <w:rsid w:val="00375E33"/>
    <w:rsid w:val="00377548"/>
    <w:rsid w:val="003819B9"/>
    <w:rsid w:val="003846F9"/>
    <w:rsid w:val="00386560"/>
    <w:rsid w:val="00391485"/>
    <w:rsid w:val="00391ADB"/>
    <w:rsid w:val="003974BB"/>
    <w:rsid w:val="003C6DBC"/>
    <w:rsid w:val="003D4ED2"/>
    <w:rsid w:val="003F11DC"/>
    <w:rsid w:val="003F2529"/>
    <w:rsid w:val="003F3EE4"/>
    <w:rsid w:val="003F5CF3"/>
    <w:rsid w:val="004028B7"/>
    <w:rsid w:val="00420CC5"/>
    <w:rsid w:val="00434A46"/>
    <w:rsid w:val="00435255"/>
    <w:rsid w:val="00440603"/>
    <w:rsid w:val="004428FA"/>
    <w:rsid w:val="004505FB"/>
    <w:rsid w:val="004520BB"/>
    <w:rsid w:val="00462B57"/>
    <w:rsid w:val="00465DFA"/>
    <w:rsid w:val="00467AC5"/>
    <w:rsid w:val="004728BD"/>
    <w:rsid w:val="00474FC8"/>
    <w:rsid w:val="004A34D0"/>
    <w:rsid w:val="004A3B97"/>
    <w:rsid w:val="004A4276"/>
    <w:rsid w:val="004A473F"/>
    <w:rsid w:val="004B26A0"/>
    <w:rsid w:val="004B678D"/>
    <w:rsid w:val="004C1E22"/>
    <w:rsid w:val="004C4AE7"/>
    <w:rsid w:val="004D1C2A"/>
    <w:rsid w:val="004E03EA"/>
    <w:rsid w:val="004E08AD"/>
    <w:rsid w:val="004E3790"/>
    <w:rsid w:val="004F667F"/>
    <w:rsid w:val="00500855"/>
    <w:rsid w:val="00511A7F"/>
    <w:rsid w:val="005154AE"/>
    <w:rsid w:val="005165FE"/>
    <w:rsid w:val="00516B96"/>
    <w:rsid w:val="00524CBB"/>
    <w:rsid w:val="005278E2"/>
    <w:rsid w:val="00527DC5"/>
    <w:rsid w:val="005316E3"/>
    <w:rsid w:val="00533C05"/>
    <w:rsid w:val="00535C6A"/>
    <w:rsid w:val="00542F59"/>
    <w:rsid w:val="00546FA0"/>
    <w:rsid w:val="00552FD0"/>
    <w:rsid w:val="005559A9"/>
    <w:rsid w:val="005572F1"/>
    <w:rsid w:val="005803F3"/>
    <w:rsid w:val="0058147B"/>
    <w:rsid w:val="00584727"/>
    <w:rsid w:val="005A456C"/>
    <w:rsid w:val="005B14F1"/>
    <w:rsid w:val="005B1F55"/>
    <w:rsid w:val="005B3FD7"/>
    <w:rsid w:val="005B4B68"/>
    <w:rsid w:val="005B4BA3"/>
    <w:rsid w:val="005C1046"/>
    <w:rsid w:val="005C466B"/>
    <w:rsid w:val="005C4BF2"/>
    <w:rsid w:val="005F0A3C"/>
    <w:rsid w:val="00603DC1"/>
    <w:rsid w:val="00604A53"/>
    <w:rsid w:val="00604D3E"/>
    <w:rsid w:val="006073A2"/>
    <w:rsid w:val="00622C49"/>
    <w:rsid w:val="00624E7C"/>
    <w:rsid w:val="006271F7"/>
    <w:rsid w:val="006318C4"/>
    <w:rsid w:val="00635D0A"/>
    <w:rsid w:val="00635F8A"/>
    <w:rsid w:val="00636658"/>
    <w:rsid w:val="00636C20"/>
    <w:rsid w:val="00641380"/>
    <w:rsid w:val="006419CF"/>
    <w:rsid w:val="00645161"/>
    <w:rsid w:val="00647E45"/>
    <w:rsid w:val="0065204C"/>
    <w:rsid w:val="0066085C"/>
    <w:rsid w:val="006625ED"/>
    <w:rsid w:val="00680DD3"/>
    <w:rsid w:val="00683881"/>
    <w:rsid w:val="00690CBC"/>
    <w:rsid w:val="00692207"/>
    <w:rsid w:val="00695938"/>
    <w:rsid w:val="0069735D"/>
    <w:rsid w:val="006A4FDF"/>
    <w:rsid w:val="006B3CFE"/>
    <w:rsid w:val="006B5C9A"/>
    <w:rsid w:val="006D0119"/>
    <w:rsid w:val="006D0D10"/>
    <w:rsid w:val="006D399C"/>
    <w:rsid w:val="006E3247"/>
    <w:rsid w:val="006E3A17"/>
    <w:rsid w:val="006E7839"/>
    <w:rsid w:val="007104AA"/>
    <w:rsid w:val="00713F86"/>
    <w:rsid w:val="00716F48"/>
    <w:rsid w:val="0072030D"/>
    <w:rsid w:val="0072055A"/>
    <w:rsid w:val="00744107"/>
    <w:rsid w:val="0074555C"/>
    <w:rsid w:val="00753482"/>
    <w:rsid w:val="0076088A"/>
    <w:rsid w:val="00762593"/>
    <w:rsid w:val="0078231B"/>
    <w:rsid w:val="00785418"/>
    <w:rsid w:val="00787EA4"/>
    <w:rsid w:val="00791201"/>
    <w:rsid w:val="0079350E"/>
    <w:rsid w:val="007A03F2"/>
    <w:rsid w:val="007A0535"/>
    <w:rsid w:val="007A1DA0"/>
    <w:rsid w:val="007A6DFE"/>
    <w:rsid w:val="007B11EE"/>
    <w:rsid w:val="007B1BA7"/>
    <w:rsid w:val="007C1642"/>
    <w:rsid w:val="007C180E"/>
    <w:rsid w:val="007C1A4B"/>
    <w:rsid w:val="007C42AE"/>
    <w:rsid w:val="007D00C8"/>
    <w:rsid w:val="007D09C1"/>
    <w:rsid w:val="007D165D"/>
    <w:rsid w:val="007D5D13"/>
    <w:rsid w:val="007D5D4E"/>
    <w:rsid w:val="007D76DA"/>
    <w:rsid w:val="007E24A3"/>
    <w:rsid w:val="007E2E24"/>
    <w:rsid w:val="007F64A9"/>
    <w:rsid w:val="007F697E"/>
    <w:rsid w:val="00800C49"/>
    <w:rsid w:val="008107F8"/>
    <w:rsid w:val="00814BDF"/>
    <w:rsid w:val="00823959"/>
    <w:rsid w:val="00825C74"/>
    <w:rsid w:val="00834208"/>
    <w:rsid w:val="00836F61"/>
    <w:rsid w:val="00840DF0"/>
    <w:rsid w:val="00840F7D"/>
    <w:rsid w:val="00841DDE"/>
    <w:rsid w:val="00842645"/>
    <w:rsid w:val="00844649"/>
    <w:rsid w:val="008516C6"/>
    <w:rsid w:val="00851D15"/>
    <w:rsid w:val="0085649E"/>
    <w:rsid w:val="00864A8B"/>
    <w:rsid w:val="008654B3"/>
    <w:rsid w:val="00876B58"/>
    <w:rsid w:val="008839B3"/>
    <w:rsid w:val="00885F84"/>
    <w:rsid w:val="0089223A"/>
    <w:rsid w:val="0089542E"/>
    <w:rsid w:val="008A0800"/>
    <w:rsid w:val="008A5C86"/>
    <w:rsid w:val="008A5FE0"/>
    <w:rsid w:val="008A6387"/>
    <w:rsid w:val="008B03A6"/>
    <w:rsid w:val="008B2362"/>
    <w:rsid w:val="008C330E"/>
    <w:rsid w:val="008E3F36"/>
    <w:rsid w:val="008E43E4"/>
    <w:rsid w:val="008F4574"/>
    <w:rsid w:val="008F736C"/>
    <w:rsid w:val="0090014B"/>
    <w:rsid w:val="009046DA"/>
    <w:rsid w:val="009054FE"/>
    <w:rsid w:val="0091108D"/>
    <w:rsid w:val="00915A14"/>
    <w:rsid w:val="00931B4A"/>
    <w:rsid w:val="0093234C"/>
    <w:rsid w:val="009335DD"/>
    <w:rsid w:val="00935E73"/>
    <w:rsid w:val="009419AB"/>
    <w:rsid w:val="0094320B"/>
    <w:rsid w:val="00944A8A"/>
    <w:rsid w:val="00945535"/>
    <w:rsid w:val="00955ACC"/>
    <w:rsid w:val="00957814"/>
    <w:rsid w:val="009602D3"/>
    <w:rsid w:val="009717EB"/>
    <w:rsid w:val="00980CCB"/>
    <w:rsid w:val="00990F07"/>
    <w:rsid w:val="009966B3"/>
    <w:rsid w:val="009B1284"/>
    <w:rsid w:val="009B1B0F"/>
    <w:rsid w:val="009B24FF"/>
    <w:rsid w:val="009C16FA"/>
    <w:rsid w:val="009C18A3"/>
    <w:rsid w:val="009C2E93"/>
    <w:rsid w:val="009C7451"/>
    <w:rsid w:val="009C7E20"/>
    <w:rsid w:val="009D302E"/>
    <w:rsid w:val="009D4A2C"/>
    <w:rsid w:val="009E1893"/>
    <w:rsid w:val="009E351A"/>
    <w:rsid w:val="009E476D"/>
    <w:rsid w:val="009E7C1A"/>
    <w:rsid w:val="009F3F51"/>
    <w:rsid w:val="009F6E12"/>
    <w:rsid w:val="00A02439"/>
    <w:rsid w:val="00A03715"/>
    <w:rsid w:val="00A104E7"/>
    <w:rsid w:val="00A17B5F"/>
    <w:rsid w:val="00A253E5"/>
    <w:rsid w:val="00A332E1"/>
    <w:rsid w:val="00A53330"/>
    <w:rsid w:val="00A540ED"/>
    <w:rsid w:val="00A548D1"/>
    <w:rsid w:val="00A577BF"/>
    <w:rsid w:val="00A64BED"/>
    <w:rsid w:val="00A6693D"/>
    <w:rsid w:val="00A74260"/>
    <w:rsid w:val="00A74D4C"/>
    <w:rsid w:val="00A765BB"/>
    <w:rsid w:val="00A803A6"/>
    <w:rsid w:val="00A8228C"/>
    <w:rsid w:val="00A90FB7"/>
    <w:rsid w:val="00A91870"/>
    <w:rsid w:val="00AA0340"/>
    <w:rsid w:val="00AB0CCC"/>
    <w:rsid w:val="00AB7E89"/>
    <w:rsid w:val="00AC11EF"/>
    <w:rsid w:val="00AC6991"/>
    <w:rsid w:val="00AD08B8"/>
    <w:rsid w:val="00AD3E24"/>
    <w:rsid w:val="00AE0184"/>
    <w:rsid w:val="00AE0D62"/>
    <w:rsid w:val="00AE49BA"/>
    <w:rsid w:val="00AF3201"/>
    <w:rsid w:val="00B045E4"/>
    <w:rsid w:val="00B11ABF"/>
    <w:rsid w:val="00B13DE2"/>
    <w:rsid w:val="00B14BF0"/>
    <w:rsid w:val="00B15F67"/>
    <w:rsid w:val="00B2789A"/>
    <w:rsid w:val="00B27B8C"/>
    <w:rsid w:val="00B44217"/>
    <w:rsid w:val="00B53281"/>
    <w:rsid w:val="00B577E2"/>
    <w:rsid w:val="00B6118B"/>
    <w:rsid w:val="00B71CD4"/>
    <w:rsid w:val="00B74334"/>
    <w:rsid w:val="00B74BAF"/>
    <w:rsid w:val="00B75556"/>
    <w:rsid w:val="00B75F33"/>
    <w:rsid w:val="00B81344"/>
    <w:rsid w:val="00B839BE"/>
    <w:rsid w:val="00B86F7E"/>
    <w:rsid w:val="00B875DD"/>
    <w:rsid w:val="00BA0EB6"/>
    <w:rsid w:val="00BA152D"/>
    <w:rsid w:val="00BA6807"/>
    <w:rsid w:val="00BB0DB6"/>
    <w:rsid w:val="00BC18AA"/>
    <w:rsid w:val="00BC48CA"/>
    <w:rsid w:val="00BC51A8"/>
    <w:rsid w:val="00BD0DE3"/>
    <w:rsid w:val="00BD13E8"/>
    <w:rsid w:val="00BD15E0"/>
    <w:rsid w:val="00BD1632"/>
    <w:rsid w:val="00BD4D4B"/>
    <w:rsid w:val="00BD6D34"/>
    <w:rsid w:val="00BE1CE4"/>
    <w:rsid w:val="00C1469C"/>
    <w:rsid w:val="00C15993"/>
    <w:rsid w:val="00C17981"/>
    <w:rsid w:val="00C32126"/>
    <w:rsid w:val="00C4180A"/>
    <w:rsid w:val="00C5291E"/>
    <w:rsid w:val="00C60FFB"/>
    <w:rsid w:val="00C72A7F"/>
    <w:rsid w:val="00C73601"/>
    <w:rsid w:val="00C76311"/>
    <w:rsid w:val="00C825C6"/>
    <w:rsid w:val="00C83B77"/>
    <w:rsid w:val="00C92D5E"/>
    <w:rsid w:val="00C9467E"/>
    <w:rsid w:val="00CA122D"/>
    <w:rsid w:val="00CA2D64"/>
    <w:rsid w:val="00CA3D49"/>
    <w:rsid w:val="00CA62C9"/>
    <w:rsid w:val="00CB4954"/>
    <w:rsid w:val="00CB7CDC"/>
    <w:rsid w:val="00CB7D06"/>
    <w:rsid w:val="00CC2095"/>
    <w:rsid w:val="00CD18AB"/>
    <w:rsid w:val="00CD2BA7"/>
    <w:rsid w:val="00CD7833"/>
    <w:rsid w:val="00CE2548"/>
    <w:rsid w:val="00CE3664"/>
    <w:rsid w:val="00CF7CE5"/>
    <w:rsid w:val="00D04637"/>
    <w:rsid w:val="00D100FB"/>
    <w:rsid w:val="00D11FBA"/>
    <w:rsid w:val="00D130C3"/>
    <w:rsid w:val="00D163BD"/>
    <w:rsid w:val="00D164CA"/>
    <w:rsid w:val="00D239A7"/>
    <w:rsid w:val="00D268E7"/>
    <w:rsid w:val="00D33F21"/>
    <w:rsid w:val="00D5308F"/>
    <w:rsid w:val="00D647CE"/>
    <w:rsid w:val="00D64E2C"/>
    <w:rsid w:val="00D66162"/>
    <w:rsid w:val="00D668A8"/>
    <w:rsid w:val="00D677A4"/>
    <w:rsid w:val="00D74776"/>
    <w:rsid w:val="00D767DE"/>
    <w:rsid w:val="00D8156D"/>
    <w:rsid w:val="00D819F5"/>
    <w:rsid w:val="00D855F5"/>
    <w:rsid w:val="00D87556"/>
    <w:rsid w:val="00D93460"/>
    <w:rsid w:val="00D96C19"/>
    <w:rsid w:val="00DA4245"/>
    <w:rsid w:val="00DB0AB7"/>
    <w:rsid w:val="00DC76E1"/>
    <w:rsid w:val="00DD2478"/>
    <w:rsid w:val="00DD2F3B"/>
    <w:rsid w:val="00DD4545"/>
    <w:rsid w:val="00DD62DA"/>
    <w:rsid w:val="00DE10D6"/>
    <w:rsid w:val="00DE37CE"/>
    <w:rsid w:val="00DF16FD"/>
    <w:rsid w:val="00DF1BA2"/>
    <w:rsid w:val="00DF2C16"/>
    <w:rsid w:val="00DF2F55"/>
    <w:rsid w:val="00DF4B6E"/>
    <w:rsid w:val="00DF4F04"/>
    <w:rsid w:val="00E03A4B"/>
    <w:rsid w:val="00E05865"/>
    <w:rsid w:val="00E16004"/>
    <w:rsid w:val="00E230B8"/>
    <w:rsid w:val="00E35B4F"/>
    <w:rsid w:val="00E35D10"/>
    <w:rsid w:val="00E36D4F"/>
    <w:rsid w:val="00E36FC2"/>
    <w:rsid w:val="00E37282"/>
    <w:rsid w:val="00E40699"/>
    <w:rsid w:val="00E41170"/>
    <w:rsid w:val="00E422A4"/>
    <w:rsid w:val="00E46670"/>
    <w:rsid w:val="00E47315"/>
    <w:rsid w:val="00E47798"/>
    <w:rsid w:val="00E5438D"/>
    <w:rsid w:val="00E651FB"/>
    <w:rsid w:val="00E7166B"/>
    <w:rsid w:val="00E74BAF"/>
    <w:rsid w:val="00E81458"/>
    <w:rsid w:val="00E83EEE"/>
    <w:rsid w:val="00E85396"/>
    <w:rsid w:val="00E97E6A"/>
    <w:rsid w:val="00EA1305"/>
    <w:rsid w:val="00EA5014"/>
    <w:rsid w:val="00EA56B1"/>
    <w:rsid w:val="00EB1551"/>
    <w:rsid w:val="00ED11CF"/>
    <w:rsid w:val="00ED725C"/>
    <w:rsid w:val="00EE0B19"/>
    <w:rsid w:val="00EE5063"/>
    <w:rsid w:val="00EE7D97"/>
    <w:rsid w:val="00EF1ED6"/>
    <w:rsid w:val="00EF39C3"/>
    <w:rsid w:val="00F038DE"/>
    <w:rsid w:val="00F11C82"/>
    <w:rsid w:val="00F24DA9"/>
    <w:rsid w:val="00F2592A"/>
    <w:rsid w:val="00F33333"/>
    <w:rsid w:val="00F368CA"/>
    <w:rsid w:val="00F36BE4"/>
    <w:rsid w:val="00F371BE"/>
    <w:rsid w:val="00F37E4D"/>
    <w:rsid w:val="00F4197A"/>
    <w:rsid w:val="00F44952"/>
    <w:rsid w:val="00F5132E"/>
    <w:rsid w:val="00F54A7F"/>
    <w:rsid w:val="00F56092"/>
    <w:rsid w:val="00F564CC"/>
    <w:rsid w:val="00F61BB3"/>
    <w:rsid w:val="00F6383F"/>
    <w:rsid w:val="00F64FBA"/>
    <w:rsid w:val="00F6681B"/>
    <w:rsid w:val="00F72209"/>
    <w:rsid w:val="00F73887"/>
    <w:rsid w:val="00F74E94"/>
    <w:rsid w:val="00F836D7"/>
    <w:rsid w:val="00F95A2F"/>
    <w:rsid w:val="00FA2859"/>
    <w:rsid w:val="00FB1A6F"/>
    <w:rsid w:val="00FB5E20"/>
    <w:rsid w:val="00FB7A1A"/>
    <w:rsid w:val="00FC4A95"/>
    <w:rsid w:val="00FD4BA6"/>
    <w:rsid w:val="00FD6004"/>
    <w:rsid w:val="00FE1B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2EF301"/>
  <w15:chartTrackingRefBased/>
  <w15:docId w15:val="{140B6F71-9AA6-4103-8C28-DC96E0909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535"/>
  </w:style>
  <w:style w:type="paragraph" w:styleId="Balk1">
    <w:name w:val="heading 1"/>
    <w:basedOn w:val="Normal"/>
    <w:next w:val="Normal"/>
    <w:link w:val="Balk1Char"/>
    <w:uiPriority w:val="9"/>
    <w:qFormat/>
    <w:rsid w:val="0094553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Balk2">
    <w:name w:val="heading 2"/>
    <w:basedOn w:val="Normal"/>
    <w:next w:val="Normal"/>
    <w:link w:val="Balk2Char"/>
    <w:uiPriority w:val="9"/>
    <w:semiHidden/>
    <w:unhideWhenUsed/>
    <w:qFormat/>
    <w:rsid w:val="0094553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Balk3">
    <w:name w:val="heading 3"/>
    <w:basedOn w:val="Normal"/>
    <w:next w:val="Normal"/>
    <w:link w:val="Balk3Char"/>
    <w:uiPriority w:val="9"/>
    <w:semiHidden/>
    <w:unhideWhenUsed/>
    <w:qFormat/>
    <w:rsid w:val="00945535"/>
    <w:pPr>
      <w:pBdr>
        <w:top w:val="single" w:sz="6" w:space="2" w:color="4472C4" w:themeColor="accent1"/>
      </w:pBdr>
      <w:spacing w:before="300" w:after="0"/>
      <w:outlineLvl w:val="2"/>
    </w:pPr>
    <w:rPr>
      <w:caps/>
      <w:color w:val="1F3763" w:themeColor="accent1" w:themeShade="7F"/>
      <w:spacing w:val="15"/>
    </w:rPr>
  </w:style>
  <w:style w:type="paragraph" w:styleId="Balk4">
    <w:name w:val="heading 4"/>
    <w:basedOn w:val="Normal"/>
    <w:next w:val="Normal"/>
    <w:link w:val="Balk4Char"/>
    <w:uiPriority w:val="9"/>
    <w:semiHidden/>
    <w:unhideWhenUsed/>
    <w:qFormat/>
    <w:rsid w:val="00945535"/>
    <w:pPr>
      <w:pBdr>
        <w:top w:val="dotted" w:sz="6" w:space="2" w:color="4472C4" w:themeColor="accent1"/>
      </w:pBdr>
      <w:spacing w:before="200" w:after="0"/>
      <w:outlineLvl w:val="3"/>
    </w:pPr>
    <w:rPr>
      <w:caps/>
      <w:color w:val="2F5496" w:themeColor="accent1" w:themeShade="BF"/>
      <w:spacing w:val="10"/>
    </w:rPr>
  </w:style>
  <w:style w:type="paragraph" w:styleId="Balk5">
    <w:name w:val="heading 5"/>
    <w:basedOn w:val="Normal"/>
    <w:next w:val="Normal"/>
    <w:link w:val="Balk5Char"/>
    <w:uiPriority w:val="9"/>
    <w:semiHidden/>
    <w:unhideWhenUsed/>
    <w:qFormat/>
    <w:rsid w:val="00945535"/>
    <w:pPr>
      <w:pBdr>
        <w:bottom w:val="single" w:sz="6" w:space="1" w:color="4472C4" w:themeColor="accent1"/>
      </w:pBdr>
      <w:spacing w:before="200" w:after="0"/>
      <w:outlineLvl w:val="4"/>
    </w:pPr>
    <w:rPr>
      <w:caps/>
      <w:color w:val="2F5496" w:themeColor="accent1" w:themeShade="BF"/>
      <w:spacing w:val="10"/>
    </w:rPr>
  </w:style>
  <w:style w:type="paragraph" w:styleId="Balk6">
    <w:name w:val="heading 6"/>
    <w:basedOn w:val="Normal"/>
    <w:next w:val="Normal"/>
    <w:link w:val="Balk6Char"/>
    <w:uiPriority w:val="9"/>
    <w:semiHidden/>
    <w:unhideWhenUsed/>
    <w:qFormat/>
    <w:rsid w:val="00945535"/>
    <w:pPr>
      <w:pBdr>
        <w:bottom w:val="dotted" w:sz="6" w:space="1" w:color="4472C4" w:themeColor="accent1"/>
      </w:pBdr>
      <w:spacing w:before="200" w:after="0"/>
      <w:outlineLvl w:val="5"/>
    </w:pPr>
    <w:rPr>
      <w:caps/>
      <w:color w:val="2F5496" w:themeColor="accent1" w:themeShade="BF"/>
      <w:spacing w:val="10"/>
    </w:rPr>
  </w:style>
  <w:style w:type="paragraph" w:styleId="Balk7">
    <w:name w:val="heading 7"/>
    <w:basedOn w:val="Normal"/>
    <w:next w:val="Normal"/>
    <w:link w:val="Balk7Char"/>
    <w:uiPriority w:val="9"/>
    <w:semiHidden/>
    <w:unhideWhenUsed/>
    <w:qFormat/>
    <w:rsid w:val="00945535"/>
    <w:pPr>
      <w:spacing w:before="200" w:after="0"/>
      <w:outlineLvl w:val="6"/>
    </w:pPr>
    <w:rPr>
      <w:caps/>
      <w:color w:val="2F5496" w:themeColor="accent1" w:themeShade="BF"/>
      <w:spacing w:val="10"/>
    </w:rPr>
  </w:style>
  <w:style w:type="paragraph" w:styleId="Balk8">
    <w:name w:val="heading 8"/>
    <w:basedOn w:val="Normal"/>
    <w:next w:val="Normal"/>
    <w:link w:val="Balk8Char"/>
    <w:uiPriority w:val="9"/>
    <w:semiHidden/>
    <w:unhideWhenUsed/>
    <w:qFormat/>
    <w:rsid w:val="00945535"/>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945535"/>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B5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uiPriority w:val="35"/>
    <w:semiHidden/>
    <w:unhideWhenUsed/>
    <w:qFormat/>
    <w:rsid w:val="00945535"/>
    <w:rPr>
      <w:b/>
      <w:bCs/>
      <w:color w:val="2F5496" w:themeColor="accent1" w:themeShade="BF"/>
      <w:sz w:val="16"/>
      <w:szCs w:val="16"/>
    </w:rPr>
  </w:style>
  <w:style w:type="paragraph" w:styleId="stBilgi">
    <w:name w:val="header"/>
    <w:basedOn w:val="Normal"/>
    <w:link w:val="stBilgiChar"/>
    <w:uiPriority w:val="99"/>
    <w:unhideWhenUsed/>
    <w:rsid w:val="00DD62D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D62DA"/>
  </w:style>
  <w:style w:type="paragraph" w:styleId="AltBilgi">
    <w:name w:val="footer"/>
    <w:basedOn w:val="Normal"/>
    <w:link w:val="AltBilgiChar"/>
    <w:uiPriority w:val="99"/>
    <w:unhideWhenUsed/>
    <w:rsid w:val="00DD62D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D62DA"/>
  </w:style>
  <w:style w:type="character" w:styleId="Kpr">
    <w:name w:val="Hyperlink"/>
    <w:basedOn w:val="VarsaylanParagrafYazTipi"/>
    <w:uiPriority w:val="99"/>
    <w:unhideWhenUsed/>
    <w:rsid w:val="00DD62DA"/>
    <w:rPr>
      <w:color w:val="0563C1" w:themeColor="hyperlink"/>
      <w:u w:val="single"/>
    </w:rPr>
  </w:style>
  <w:style w:type="character" w:styleId="zmlenmeyenBahsetme">
    <w:name w:val="Unresolved Mention"/>
    <w:basedOn w:val="VarsaylanParagrafYazTipi"/>
    <w:uiPriority w:val="99"/>
    <w:semiHidden/>
    <w:unhideWhenUsed/>
    <w:rsid w:val="00DD62DA"/>
    <w:rPr>
      <w:color w:val="605E5C"/>
      <w:shd w:val="clear" w:color="auto" w:fill="E1DFDD"/>
    </w:rPr>
  </w:style>
  <w:style w:type="character" w:styleId="GlBavuru">
    <w:name w:val="Intense Reference"/>
    <w:uiPriority w:val="32"/>
    <w:qFormat/>
    <w:rsid w:val="00945535"/>
    <w:rPr>
      <w:b/>
      <w:bCs/>
      <w:i/>
      <w:iCs/>
      <w:caps/>
      <w:color w:val="4472C4" w:themeColor="accent1"/>
    </w:rPr>
  </w:style>
  <w:style w:type="character" w:styleId="zlenenKpr">
    <w:name w:val="FollowedHyperlink"/>
    <w:basedOn w:val="VarsaylanParagrafYazTipi"/>
    <w:uiPriority w:val="99"/>
    <w:semiHidden/>
    <w:unhideWhenUsed/>
    <w:rsid w:val="00825C74"/>
    <w:rPr>
      <w:color w:val="954F72" w:themeColor="followedHyperlink"/>
      <w:u w:val="single"/>
    </w:rPr>
  </w:style>
  <w:style w:type="paragraph" w:styleId="ListeParagraf">
    <w:name w:val="List Paragraph"/>
    <w:basedOn w:val="Normal"/>
    <w:uiPriority w:val="34"/>
    <w:qFormat/>
    <w:rsid w:val="00CE2548"/>
    <w:pPr>
      <w:ind w:left="720"/>
      <w:contextualSpacing/>
    </w:pPr>
  </w:style>
  <w:style w:type="character" w:customStyle="1" w:styleId="Balk1Char">
    <w:name w:val="Başlık 1 Char"/>
    <w:basedOn w:val="VarsaylanParagrafYazTipi"/>
    <w:link w:val="Balk1"/>
    <w:uiPriority w:val="9"/>
    <w:rsid w:val="00945535"/>
    <w:rPr>
      <w:caps/>
      <w:color w:val="FFFFFF" w:themeColor="background1"/>
      <w:spacing w:val="15"/>
      <w:sz w:val="22"/>
      <w:szCs w:val="22"/>
      <w:shd w:val="clear" w:color="auto" w:fill="4472C4" w:themeFill="accent1"/>
    </w:rPr>
  </w:style>
  <w:style w:type="character" w:customStyle="1" w:styleId="Balk2Char">
    <w:name w:val="Başlık 2 Char"/>
    <w:basedOn w:val="VarsaylanParagrafYazTipi"/>
    <w:link w:val="Balk2"/>
    <w:uiPriority w:val="9"/>
    <w:semiHidden/>
    <w:rsid w:val="00945535"/>
    <w:rPr>
      <w:caps/>
      <w:spacing w:val="15"/>
      <w:shd w:val="clear" w:color="auto" w:fill="D9E2F3" w:themeFill="accent1" w:themeFillTint="33"/>
    </w:rPr>
  </w:style>
  <w:style w:type="character" w:customStyle="1" w:styleId="Balk3Char">
    <w:name w:val="Başlık 3 Char"/>
    <w:basedOn w:val="VarsaylanParagrafYazTipi"/>
    <w:link w:val="Balk3"/>
    <w:uiPriority w:val="9"/>
    <w:semiHidden/>
    <w:rsid w:val="00945535"/>
    <w:rPr>
      <w:caps/>
      <w:color w:val="1F3763" w:themeColor="accent1" w:themeShade="7F"/>
      <w:spacing w:val="15"/>
    </w:rPr>
  </w:style>
  <w:style w:type="character" w:customStyle="1" w:styleId="Balk4Char">
    <w:name w:val="Başlık 4 Char"/>
    <w:basedOn w:val="VarsaylanParagrafYazTipi"/>
    <w:link w:val="Balk4"/>
    <w:uiPriority w:val="9"/>
    <w:semiHidden/>
    <w:rsid w:val="00945535"/>
    <w:rPr>
      <w:caps/>
      <w:color w:val="2F5496" w:themeColor="accent1" w:themeShade="BF"/>
      <w:spacing w:val="10"/>
    </w:rPr>
  </w:style>
  <w:style w:type="character" w:customStyle="1" w:styleId="Balk5Char">
    <w:name w:val="Başlık 5 Char"/>
    <w:basedOn w:val="VarsaylanParagrafYazTipi"/>
    <w:link w:val="Balk5"/>
    <w:uiPriority w:val="9"/>
    <w:semiHidden/>
    <w:rsid w:val="00945535"/>
    <w:rPr>
      <w:caps/>
      <w:color w:val="2F5496" w:themeColor="accent1" w:themeShade="BF"/>
      <w:spacing w:val="10"/>
    </w:rPr>
  </w:style>
  <w:style w:type="character" w:customStyle="1" w:styleId="Balk6Char">
    <w:name w:val="Başlık 6 Char"/>
    <w:basedOn w:val="VarsaylanParagrafYazTipi"/>
    <w:link w:val="Balk6"/>
    <w:uiPriority w:val="9"/>
    <w:semiHidden/>
    <w:rsid w:val="00945535"/>
    <w:rPr>
      <w:caps/>
      <w:color w:val="2F5496" w:themeColor="accent1" w:themeShade="BF"/>
      <w:spacing w:val="10"/>
    </w:rPr>
  </w:style>
  <w:style w:type="character" w:customStyle="1" w:styleId="Balk7Char">
    <w:name w:val="Başlık 7 Char"/>
    <w:basedOn w:val="VarsaylanParagrafYazTipi"/>
    <w:link w:val="Balk7"/>
    <w:uiPriority w:val="9"/>
    <w:semiHidden/>
    <w:rsid w:val="00945535"/>
    <w:rPr>
      <w:caps/>
      <w:color w:val="2F5496" w:themeColor="accent1" w:themeShade="BF"/>
      <w:spacing w:val="10"/>
    </w:rPr>
  </w:style>
  <w:style w:type="character" w:customStyle="1" w:styleId="Balk8Char">
    <w:name w:val="Başlık 8 Char"/>
    <w:basedOn w:val="VarsaylanParagrafYazTipi"/>
    <w:link w:val="Balk8"/>
    <w:uiPriority w:val="9"/>
    <w:semiHidden/>
    <w:rsid w:val="00945535"/>
    <w:rPr>
      <w:caps/>
      <w:spacing w:val="10"/>
      <w:sz w:val="18"/>
      <w:szCs w:val="18"/>
    </w:rPr>
  </w:style>
  <w:style w:type="character" w:customStyle="1" w:styleId="Balk9Char">
    <w:name w:val="Başlık 9 Char"/>
    <w:basedOn w:val="VarsaylanParagrafYazTipi"/>
    <w:link w:val="Balk9"/>
    <w:uiPriority w:val="9"/>
    <w:semiHidden/>
    <w:rsid w:val="00945535"/>
    <w:rPr>
      <w:i/>
      <w:iCs/>
      <w:caps/>
      <w:spacing w:val="10"/>
      <w:sz w:val="18"/>
      <w:szCs w:val="18"/>
    </w:rPr>
  </w:style>
  <w:style w:type="paragraph" w:styleId="KonuBal">
    <w:name w:val="Title"/>
    <w:basedOn w:val="Normal"/>
    <w:next w:val="Normal"/>
    <w:link w:val="KonuBalChar"/>
    <w:uiPriority w:val="10"/>
    <w:qFormat/>
    <w:rsid w:val="00945535"/>
    <w:pPr>
      <w:spacing w:before="0" w:after="0"/>
    </w:pPr>
    <w:rPr>
      <w:rFonts w:asciiTheme="majorHAnsi" w:eastAsiaTheme="majorEastAsia" w:hAnsiTheme="majorHAnsi" w:cstheme="majorBidi"/>
      <w:caps/>
      <w:color w:val="4472C4" w:themeColor="accent1"/>
      <w:spacing w:val="10"/>
      <w:sz w:val="52"/>
      <w:szCs w:val="52"/>
    </w:rPr>
  </w:style>
  <w:style w:type="character" w:customStyle="1" w:styleId="KonuBalChar">
    <w:name w:val="Konu Başlığı Char"/>
    <w:basedOn w:val="VarsaylanParagrafYazTipi"/>
    <w:link w:val="KonuBal"/>
    <w:uiPriority w:val="10"/>
    <w:rsid w:val="00945535"/>
    <w:rPr>
      <w:rFonts w:asciiTheme="majorHAnsi" w:eastAsiaTheme="majorEastAsia" w:hAnsiTheme="majorHAnsi" w:cstheme="majorBidi"/>
      <w:caps/>
      <w:color w:val="4472C4" w:themeColor="accent1"/>
      <w:spacing w:val="10"/>
      <w:sz w:val="52"/>
      <w:szCs w:val="52"/>
    </w:rPr>
  </w:style>
  <w:style w:type="paragraph" w:styleId="Altyaz">
    <w:name w:val="Subtitle"/>
    <w:basedOn w:val="Normal"/>
    <w:next w:val="Normal"/>
    <w:link w:val="AltyazChar"/>
    <w:uiPriority w:val="11"/>
    <w:qFormat/>
    <w:rsid w:val="00945535"/>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945535"/>
    <w:rPr>
      <w:caps/>
      <w:color w:val="595959" w:themeColor="text1" w:themeTint="A6"/>
      <w:spacing w:val="10"/>
      <w:sz w:val="21"/>
      <w:szCs w:val="21"/>
    </w:rPr>
  </w:style>
  <w:style w:type="character" w:styleId="Gl">
    <w:name w:val="Strong"/>
    <w:uiPriority w:val="22"/>
    <w:qFormat/>
    <w:rsid w:val="00945535"/>
    <w:rPr>
      <w:b/>
      <w:bCs/>
    </w:rPr>
  </w:style>
  <w:style w:type="character" w:styleId="Vurgu">
    <w:name w:val="Emphasis"/>
    <w:uiPriority w:val="20"/>
    <w:qFormat/>
    <w:rsid w:val="00945535"/>
    <w:rPr>
      <w:caps/>
      <w:color w:val="1F3763" w:themeColor="accent1" w:themeShade="7F"/>
      <w:spacing w:val="5"/>
    </w:rPr>
  </w:style>
  <w:style w:type="paragraph" w:styleId="AralkYok">
    <w:name w:val="No Spacing"/>
    <w:uiPriority w:val="1"/>
    <w:qFormat/>
    <w:rsid w:val="00945535"/>
    <w:pPr>
      <w:spacing w:after="0" w:line="240" w:lineRule="auto"/>
    </w:pPr>
  </w:style>
  <w:style w:type="paragraph" w:styleId="Alnt">
    <w:name w:val="Quote"/>
    <w:basedOn w:val="Normal"/>
    <w:next w:val="Normal"/>
    <w:link w:val="AlntChar"/>
    <w:uiPriority w:val="29"/>
    <w:qFormat/>
    <w:rsid w:val="00945535"/>
    <w:rPr>
      <w:i/>
      <w:iCs/>
      <w:sz w:val="24"/>
      <w:szCs w:val="24"/>
    </w:rPr>
  </w:style>
  <w:style w:type="character" w:customStyle="1" w:styleId="AlntChar">
    <w:name w:val="Alıntı Char"/>
    <w:basedOn w:val="VarsaylanParagrafYazTipi"/>
    <w:link w:val="Alnt"/>
    <w:uiPriority w:val="29"/>
    <w:rsid w:val="00945535"/>
    <w:rPr>
      <w:i/>
      <w:iCs/>
      <w:sz w:val="24"/>
      <w:szCs w:val="24"/>
    </w:rPr>
  </w:style>
  <w:style w:type="paragraph" w:styleId="GlAlnt">
    <w:name w:val="Intense Quote"/>
    <w:basedOn w:val="Normal"/>
    <w:next w:val="Normal"/>
    <w:link w:val="GlAlntChar"/>
    <w:uiPriority w:val="30"/>
    <w:qFormat/>
    <w:rsid w:val="00945535"/>
    <w:pPr>
      <w:spacing w:before="240" w:after="240" w:line="240" w:lineRule="auto"/>
      <w:ind w:left="1080" w:right="1080"/>
      <w:jc w:val="center"/>
    </w:pPr>
    <w:rPr>
      <w:color w:val="4472C4" w:themeColor="accent1"/>
      <w:sz w:val="24"/>
      <w:szCs w:val="24"/>
    </w:rPr>
  </w:style>
  <w:style w:type="character" w:customStyle="1" w:styleId="GlAlntChar">
    <w:name w:val="Güçlü Alıntı Char"/>
    <w:basedOn w:val="VarsaylanParagrafYazTipi"/>
    <w:link w:val="GlAlnt"/>
    <w:uiPriority w:val="30"/>
    <w:rsid w:val="00945535"/>
    <w:rPr>
      <w:color w:val="4472C4" w:themeColor="accent1"/>
      <w:sz w:val="24"/>
      <w:szCs w:val="24"/>
    </w:rPr>
  </w:style>
  <w:style w:type="character" w:styleId="HafifVurgulama">
    <w:name w:val="Subtle Emphasis"/>
    <w:uiPriority w:val="19"/>
    <w:qFormat/>
    <w:rsid w:val="00945535"/>
    <w:rPr>
      <w:i/>
      <w:iCs/>
      <w:color w:val="1F3763" w:themeColor="accent1" w:themeShade="7F"/>
    </w:rPr>
  </w:style>
  <w:style w:type="character" w:styleId="GlVurgulama">
    <w:name w:val="Intense Emphasis"/>
    <w:uiPriority w:val="21"/>
    <w:qFormat/>
    <w:rsid w:val="00945535"/>
    <w:rPr>
      <w:b/>
      <w:bCs/>
      <w:caps/>
      <w:color w:val="1F3763" w:themeColor="accent1" w:themeShade="7F"/>
      <w:spacing w:val="10"/>
    </w:rPr>
  </w:style>
  <w:style w:type="character" w:styleId="HafifBavuru">
    <w:name w:val="Subtle Reference"/>
    <w:uiPriority w:val="31"/>
    <w:qFormat/>
    <w:rsid w:val="00945535"/>
    <w:rPr>
      <w:b/>
      <w:bCs/>
      <w:color w:val="4472C4" w:themeColor="accent1"/>
    </w:rPr>
  </w:style>
  <w:style w:type="character" w:styleId="KitapBal">
    <w:name w:val="Book Title"/>
    <w:uiPriority w:val="33"/>
    <w:qFormat/>
    <w:rsid w:val="00945535"/>
    <w:rPr>
      <w:b/>
      <w:bCs/>
      <w:i/>
      <w:iCs/>
      <w:spacing w:val="0"/>
    </w:rPr>
  </w:style>
  <w:style w:type="paragraph" w:styleId="TBal">
    <w:name w:val="TOC Heading"/>
    <w:basedOn w:val="Balk1"/>
    <w:next w:val="Normal"/>
    <w:uiPriority w:val="39"/>
    <w:semiHidden/>
    <w:unhideWhenUsed/>
    <w:qFormat/>
    <w:rsid w:val="00945535"/>
    <w:pPr>
      <w:outlineLvl w:val="9"/>
    </w:pPr>
  </w:style>
  <w:style w:type="table" w:styleId="AkListe-Vurgu3">
    <w:name w:val="Light List Accent 3"/>
    <w:basedOn w:val="NormalTablo"/>
    <w:uiPriority w:val="61"/>
    <w:rsid w:val="00105D39"/>
    <w:pPr>
      <w:spacing w:before="0" w:after="0" w:line="240" w:lineRule="auto"/>
    </w:pPr>
    <w:rPr>
      <w:sz w:val="22"/>
      <w:szCs w:val="22"/>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NormalWeb">
    <w:name w:val="Normal (Web)"/>
    <w:basedOn w:val="Normal"/>
    <w:uiPriority w:val="99"/>
    <w:unhideWhenUsed/>
    <w:rsid w:val="005278E2"/>
    <w:pPr>
      <w:spacing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3619">
      <w:bodyDiv w:val="1"/>
      <w:marLeft w:val="0"/>
      <w:marRight w:val="0"/>
      <w:marTop w:val="0"/>
      <w:marBottom w:val="0"/>
      <w:divBdr>
        <w:top w:val="none" w:sz="0" w:space="0" w:color="auto"/>
        <w:left w:val="none" w:sz="0" w:space="0" w:color="auto"/>
        <w:bottom w:val="none" w:sz="0" w:space="0" w:color="auto"/>
        <w:right w:val="none" w:sz="0" w:space="0" w:color="auto"/>
      </w:divBdr>
      <w:divsChild>
        <w:div w:id="711535422">
          <w:marLeft w:val="547"/>
          <w:marRight w:val="0"/>
          <w:marTop w:val="0"/>
          <w:marBottom w:val="0"/>
          <w:divBdr>
            <w:top w:val="none" w:sz="0" w:space="0" w:color="auto"/>
            <w:left w:val="none" w:sz="0" w:space="0" w:color="auto"/>
            <w:bottom w:val="none" w:sz="0" w:space="0" w:color="auto"/>
            <w:right w:val="none" w:sz="0" w:space="0" w:color="auto"/>
          </w:divBdr>
        </w:div>
      </w:divsChild>
    </w:div>
    <w:div w:id="143402008">
      <w:bodyDiv w:val="1"/>
      <w:marLeft w:val="0"/>
      <w:marRight w:val="0"/>
      <w:marTop w:val="0"/>
      <w:marBottom w:val="0"/>
      <w:divBdr>
        <w:top w:val="none" w:sz="0" w:space="0" w:color="auto"/>
        <w:left w:val="none" w:sz="0" w:space="0" w:color="auto"/>
        <w:bottom w:val="none" w:sz="0" w:space="0" w:color="auto"/>
        <w:right w:val="none" w:sz="0" w:space="0" w:color="auto"/>
      </w:divBdr>
    </w:div>
    <w:div w:id="537401388">
      <w:bodyDiv w:val="1"/>
      <w:marLeft w:val="0"/>
      <w:marRight w:val="0"/>
      <w:marTop w:val="0"/>
      <w:marBottom w:val="0"/>
      <w:divBdr>
        <w:top w:val="none" w:sz="0" w:space="0" w:color="auto"/>
        <w:left w:val="none" w:sz="0" w:space="0" w:color="auto"/>
        <w:bottom w:val="none" w:sz="0" w:space="0" w:color="auto"/>
        <w:right w:val="none" w:sz="0" w:space="0" w:color="auto"/>
      </w:divBdr>
    </w:div>
    <w:div w:id="551694112">
      <w:bodyDiv w:val="1"/>
      <w:marLeft w:val="0"/>
      <w:marRight w:val="0"/>
      <w:marTop w:val="0"/>
      <w:marBottom w:val="0"/>
      <w:divBdr>
        <w:top w:val="none" w:sz="0" w:space="0" w:color="auto"/>
        <w:left w:val="none" w:sz="0" w:space="0" w:color="auto"/>
        <w:bottom w:val="none" w:sz="0" w:space="0" w:color="auto"/>
        <w:right w:val="none" w:sz="0" w:space="0" w:color="auto"/>
      </w:divBdr>
    </w:div>
    <w:div w:id="622423212">
      <w:bodyDiv w:val="1"/>
      <w:marLeft w:val="0"/>
      <w:marRight w:val="0"/>
      <w:marTop w:val="0"/>
      <w:marBottom w:val="0"/>
      <w:divBdr>
        <w:top w:val="none" w:sz="0" w:space="0" w:color="auto"/>
        <w:left w:val="none" w:sz="0" w:space="0" w:color="auto"/>
        <w:bottom w:val="none" w:sz="0" w:space="0" w:color="auto"/>
        <w:right w:val="none" w:sz="0" w:space="0" w:color="auto"/>
      </w:divBdr>
    </w:div>
    <w:div w:id="856433124">
      <w:bodyDiv w:val="1"/>
      <w:marLeft w:val="0"/>
      <w:marRight w:val="0"/>
      <w:marTop w:val="0"/>
      <w:marBottom w:val="0"/>
      <w:divBdr>
        <w:top w:val="none" w:sz="0" w:space="0" w:color="auto"/>
        <w:left w:val="none" w:sz="0" w:space="0" w:color="auto"/>
        <w:bottom w:val="none" w:sz="0" w:space="0" w:color="auto"/>
        <w:right w:val="none" w:sz="0" w:space="0" w:color="auto"/>
      </w:divBdr>
    </w:div>
    <w:div w:id="1187796201">
      <w:bodyDiv w:val="1"/>
      <w:marLeft w:val="0"/>
      <w:marRight w:val="0"/>
      <w:marTop w:val="0"/>
      <w:marBottom w:val="0"/>
      <w:divBdr>
        <w:top w:val="none" w:sz="0" w:space="0" w:color="auto"/>
        <w:left w:val="none" w:sz="0" w:space="0" w:color="auto"/>
        <w:bottom w:val="none" w:sz="0" w:space="0" w:color="auto"/>
        <w:right w:val="none" w:sz="0" w:space="0" w:color="auto"/>
      </w:divBdr>
    </w:div>
    <w:div w:id="1417481669">
      <w:bodyDiv w:val="1"/>
      <w:marLeft w:val="0"/>
      <w:marRight w:val="0"/>
      <w:marTop w:val="0"/>
      <w:marBottom w:val="0"/>
      <w:divBdr>
        <w:top w:val="none" w:sz="0" w:space="0" w:color="auto"/>
        <w:left w:val="none" w:sz="0" w:space="0" w:color="auto"/>
        <w:bottom w:val="none" w:sz="0" w:space="0" w:color="auto"/>
        <w:right w:val="none" w:sz="0" w:space="0" w:color="auto"/>
      </w:divBdr>
    </w:div>
    <w:div w:id="1518345937">
      <w:bodyDiv w:val="1"/>
      <w:marLeft w:val="0"/>
      <w:marRight w:val="0"/>
      <w:marTop w:val="0"/>
      <w:marBottom w:val="0"/>
      <w:divBdr>
        <w:top w:val="none" w:sz="0" w:space="0" w:color="auto"/>
        <w:left w:val="none" w:sz="0" w:space="0" w:color="auto"/>
        <w:bottom w:val="none" w:sz="0" w:space="0" w:color="auto"/>
        <w:right w:val="none" w:sz="0" w:space="0" w:color="auto"/>
      </w:divBdr>
    </w:div>
    <w:div w:id="166916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eskiler/2025/05/20250530-2.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rcon.com.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narcon.com.tr" TargetMode="External"/><Relationship Id="rId4" Type="http://schemas.openxmlformats.org/officeDocument/2006/relationships/settings" Target="settings.xml"/><Relationship Id="rId9" Type="http://schemas.openxmlformats.org/officeDocument/2006/relationships/hyperlink" Target="https://narcon.com.tr/wp-content/uploads/2025/06/SveT-Bakanligi_Yeni_Yatirim_Tesvik_Sistemi_Sunumu_30-5-2025-s.pdf"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NARCON.COM.TR" TargetMode="External"/><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brima Yazı Tipi">
      <a:majorFont>
        <a:latin typeface="Ebrima"/>
        <a:ea typeface=""/>
        <a:cs typeface=""/>
      </a:majorFont>
      <a:minorFont>
        <a:latin typeface="Ebrima"/>
        <a:ea typeface=""/>
        <a:cs typeface=""/>
      </a:minorFont>
    </a:fontScheme>
    <a:fmtScheme name="Yansıma">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E8A09-88D2-4E46-99D1-92D1CFC82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8</Pages>
  <Words>2734</Words>
  <Characters>15588</Characters>
  <Application>Microsoft Office Word</Application>
  <DocSecurity>0</DocSecurity>
  <Lines>129</Lines>
  <Paragraphs>36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Sarıkaya</dc:creator>
  <cp:keywords/>
  <dc:description/>
  <cp:lastModifiedBy>İrfan Sarıkaya</cp:lastModifiedBy>
  <cp:revision>29</cp:revision>
  <cp:lastPrinted>2025-05-07T14:08:00Z</cp:lastPrinted>
  <dcterms:created xsi:type="dcterms:W3CDTF">2025-06-01T12:13:00Z</dcterms:created>
  <dcterms:modified xsi:type="dcterms:W3CDTF">2025-06-02T18:24:00Z</dcterms:modified>
</cp:coreProperties>
</file>